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0" w:type="dxa"/>
        <w:tblInd w:w="-426" w:type="dxa"/>
        <w:tblLook w:val="01E0" w:firstRow="1" w:lastRow="1" w:firstColumn="1" w:lastColumn="1" w:noHBand="0" w:noVBand="0"/>
      </w:tblPr>
      <w:tblGrid>
        <w:gridCol w:w="4160"/>
        <w:gridCol w:w="236"/>
        <w:gridCol w:w="5494"/>
      </w:tblGrid>
      <w:tr w:rsidR="003314FE" w:rsidRPr="003314FE" w14:paraId="2DC30346" w14:textId="77777777" w:rsidTr="00AD1C5A">
        <w:trPr>
          <w:trHeight w:val="1335"/>
        </w:trPr>
        <w:tc>
          <w:tcPr>
            <w:tcW w:w="4160" w:type="dxa"/>
          </w:tcPr>
          <w:p w14:paraId="510D15D5" w14:textId="49CA846C" w:rsidR="00C96728" w:rsidRPr="003314FE" w:rsidRDefault="00C96728" w:rsidP="00C96728">
            <w:pPr>
              <w:tabs>
                <w:tab w:val="left" w:pos="3708"/>
              </w:tabs>
              <w:spacing w:after="0" w:line="240" w:lineRule="auto"/>
              <w:jc w:val="center"/>
              <w:rPr>
                <w:rFonts w:cs="Times New Roman"/>
                <w:b/>
                <w:bCs/>
              </w:rPr>
            </w:pPr>
            <w:bookmarkStart w:id="0" w:name="_GoBack"/>
            <w:bookmarkEnd w:id="0"/>
            <w:r w:rsidRPr="003314FE">
              <w:rPr>
                <w:rFonts w:cs="Times New Roman"/>
                <w:sz w:val="22"/>
              </w:rPr>
              <w:t xml:space="preserve"> </w:t>
            </w:r>
            <w:r w:rsidRPr="003314FE">
              <w:rPr>
                <w:rFonts w:cs="Times New Roman"/>
                <w:b/>
                <w:sz w:val="24"/>
              </w:rPr>
              <w:t>ỦY BAN THƯỜNG VỤ QUỐC HỘI</w:t>
            </w:r>
            <w:r w:rsidRPr="003314FE">
              <w:rPr>
                <w:rFonts w:cs="Times New Roman"/>
                <w:b/>
                <w:noProof/>
                <w:sz w:val="14"/>
              </w:rPr>
              <mc:AlternateContent>
                <mc:Choice Requires="wps">
                  <w:drawing>
                    <wp:anchor distT="4294967288" distB="4294967288" distL="114300" distR="114300" simplePos="0" relativeHeight="251665408" behindDoc="0" locked="0" layoutInCell="1" allowOverlap="1" wp14:anchorId="7946FF78" wp14:editId="33C38F70">
                      <wp:simplePos x="0" y="0"/>
                      <wp:positionH relativeFrom="column">
                        <wp:posOffset>791910</wp:posOffset>
                      </wp:positionH>
                      <wp:positionV relativeFrom="paragraph">
                        <wp:posOffset>249155</wp:posOffset>
                      </wp:positionV>
                      <wp:extent cx="828000" cy="0"/>
                      <wp:effectExtent l="0" t="0" r="107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4537B" id="Straight Connector 4" o:spid="_x0000_s1026" style="position:absolute;z-index:25166540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2.35pt,19.6pt" to="127.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n7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P5m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"/>
                  </w:pict>
                </mc:Fallback>
              </mc:AlternateContent>
            </w:r>
          </w:p>
        </w:tc>
        <w:tc>
          <w:tcPr>
            <w:tcW w:w="236" w:type="dxa"/>
          </w:tcPr>
          <w:p w14:paraId="7E0B7EDE" w14:textId="77777777" w:rsidR="00C96728" w:rsidRPr="003314FE" w:rsidRDefault="00C96728" w:rsidP="00C96728">
            <w:pPr>
              <w:keepNext/>
              <w:spacing w:after="0" w:line="240" w:lineRule="auto"/>
              <w:outlineLvl w:val="0"/>
              <w:rPr>
                <w:rFonts w:cs="Times New Roman"/>
                <w:szCs w:val="28"/>
              </w:rPr>
            </w:pPr>
          </w:p>
        </w:tc>
        <w:tc>
          <w:tcPr>
            <w:tcW w:w="5494" w:type="dxa"/>
          </w:tcPr>
          <w:p w14:paraId="0E7FCB34" w14:textId="77777777" w:rsidR="00C96728" w:rsidRPr="003314FE" w:rsidRDefault="00C96728" w:rsidP="00C96728">
            <w:pPr>
              <w:spacing w:after="0" w:line="240" w:lineRule="auto"/>
              <w:jc w:val="center"/>
              <w:rPr>
                <w:rFonts w:cs="Times New Roman"/>
                <w:b/>
                <w:bCs/>
                <w:sz w:val="24"/>
              </w:rPr>
            </w:pPr>
            <w:r w:rsidRPr="003314FE">
              <w:rPr>
                <w:rFonts w:cs="Times New Roman"/>
                <w:b/>
                <w:bCs/>
                <w:sz w:val="24"/>
              </w:rPr>
              <w:t>CỘNG HOÀ XÃ HỘI CHỦ NGHĨA VIỆT NAM</w:t>
            </w:r>
          </w:p>
          <w:p w14:paraId="57A34FF3" w14:textId="77777777" w:rsidR="00C96728" w:rsidRPr="003314FE" w:rsidRDefault="00C96728" w:rsidP="00C96728">
            <w:pPr>
              <w:spacing w:after="0" w:line="240" w:lineRule="auto"/>
              <w:jc w:val="center"/>
              <w:rPr>
                <w:rFonts w:cs="Times New Roman"/>
                <w:b/>
                <w:bCs/>
                <w:sz w:val="26"/>
                <w:szCs w:val="28"/>
              </w:rPr>
            </w:pPr>
            <w:r w:rsidRPr="003314FE">
              <w:rPr>
                <w:rFonts w:cs="Times New Roman"/>
                <w:b/>
                <w:bCs/>
                <w:sz w:val="26"/>
                <w:szCs w:val="28"/>
              </w:rPr>
              <w:t>Độc lập - Tự do - Hạnh phúc</w:t>
            </w:r>
          </w:p>
          <w:p w14:paraId="2F3EF0C0" w14:textId="77777777" w:rsidR="00C96728" w:rsidRPr="003314FE" w:rsidRDefault="00C96728" w:rsidP="00C96728">
            <w:pPr>
              <w:spacing w:after="0" w:line="240" w:lineRule="auto"/>
              <w:jc w:val="center"/>
              <w:rPr>
                <w:rFonts w:cs="Times New Roman"/>
                <w:szCs w:val="28"/>
              </w:rPr>
            </w:pPr>
            <w:r w:rsidRPr="003314FE">
              <w:rPr>
                <w:rFonts w:cs="Times New Roman"/>
                <w:noProof/>
              </w:rPr>
              <mc:AlternateContent>
                <mc:Choice Requires="wps">
                  <w:drawing>
                    <wp:anchor distT="4294967288" distB="4294967288" distL="114300" distR="114300" simplePos="0" relativeHeight="251666432" behindDoc="0" locked="0" layoutInCell="1" allowOverlap="1" wp14:anchorId="42B690B9" wp14:editId="70DADDF3">
                      <wp:simplePos x="0" y="0"/>
                      <wp:positionH relativeFrom="column">
                        <wp:posOffset>725599</wp:posOffset>
                      </wp:positionH>
                      <wp:positionV relativeFrom="paragraph">
                        <wp:posOffset>21769</wp:posOffset>
                      </wp:positionV>
                      <wp:extent cx="2079938"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9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FDF9E" id="Straight Connector 5" o:spid="_x0000_s1026" style="position:absolute;z-index:25166643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7.15pt,1.7pt" to="220.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"/>
                  </w:pict>
                </mc:Fallback>
              </mc:AlternateContent>
            </w:r>
          </w:p>
          <w:p w14:paraId="33BE7CB5" w14:textId="3CE1BA58" w:rsidR="00C96728" w:rsidRPr="003314FE" w:rsidRDefault="00C96728" w:rsidP="00C96728">
            <w:pPr>
              <w:keepNext/>
              <w:spacing w:after="0" w:line="240" w:lineRule="auto"/>
              <w:jc w:val="right"/>
              <w:outlineLvl w:val="1"/>
              <w:rPr>
                <w:rFonts w:cs="Times New Roman"/>
                <w:i/>
                <w:iCs/>
                <w:szCs w:val="28"/>
              </w:rPr>
            </w:pPr>
            <w:r w:rsidRPr="003314FE">
              <w:rPr>
                <w:rFonts w:cs="Times New Roman"/>
                <w:i/>
                <w:iCs/>
                <w:szCs w:val="28"/>
              </w:rPr>
              <w:t xml:space="preserve">         Hà Nội, ngày </w:t>
            </w:r>
            <w:r w:rsidR="008207B0" w:rsidRPr="003314FE">
              <w:rPr>
                <w:rFonts w:cs="Times New Roman"/>
                <w:i/>
                <w:iCs/>
                <w:szCs w:val="28"/>
              </w:rPr>
              <w:t>20</w:t>
            </w:r>
            <w:r w:rsidRPr="003314FE">
              <w:rPr>
                <w:rFonts w:cs="Times New Roman"/>
                <w:i/>
                <w:iCs/>
                <w:szCs w:val="28"/>
              </w:rPr>
              <w:t xml:space="preserve"> tháng 5 năm 2022</w:t>
            </w:r>
          </w:p>
        </w:tc>
      </w:tr>
    </w:tbl>
    <w:p w14:paraId="6D712A75" w14:textId="77777777" w:rsidR="00A944A4" w:rsidRPr="003314FE" w:rsidRDefault="00A944A4" w:rsidP="004C52B4">
      <w:pPr>
        <w:spacing w:line="240" w:lineRule="auto"/>
        <w:jc w:val="center"/>
        <w:rPr>
          <w:rFonts w:cs="Times New Roman"/>
          <w:b/>
          <w:bCs/>
          <w:szCs w:val="28"/>
        </w:rPr>
      </w:pPr>
    </w:p>
    <w:p w14:paraId="2D614DE7" w14:textId="07EB6AE9" w:rsidR="004C52B4" w:rsidRPr="003314FE" w:rsidRDefault="004C52B4" w:rsidP="004C52B4">
      <w:pPr>
        <w:spacing w:line="240" w:lineRule="auto"/>
        <w:jc w:val="center"/>
        <w:rPr>
          <w:rFonts w:cs="Times New Roman"/>
          <w:b/>
          <w:bCs/>
          <w:szCs w:val="28"/>
        </w:rPr>
      </w:pPr>
      <w:r w:rsidRPr="003314FE">
        <w:rPr>
          <w:rFonts w:cs="Times New Roman"/>
          <w:b/>
          <w:bCs/>
          <w:szCs w:val="28"/>
        </w:rPr>
        <w:t>BÁO CÁO TÓM TẮT</w:t>
      </w:r>
    </w:p>
    <w:p w14:paraId="08F6569C" w14:textId="77777777" w:rsidR="004C52B4" w:rsidRPr="003314FE" w:rsidRDefault="004C52B4" w:rsidP="004C52B4">
      <w:pPr>
        <w:spacing w:after="0" w:line="240" w:lineRule="auto"/>
        <w:jc w:val="center"/>
        <w:rPr>
          <w:rFonts w:cs="Times New Roman"/>
          <w:b/>
          <w:bCs/>
          <w:szCs w:val="28"/>
        </w:rPr>
      </w:pPr>
      <w:r w:rsidRPr="003314FE">
        <w:rPr>
          <w:rFonts w:cs="Times New Roman"/>
          <w:b/>
          <w:bCs/>
          <w:szCs w:val="28"/>
          <w:lang w:val="vi-VN"/>
        </w:rPr>
        <w:t>Kết quả</w:t>
      </w:r>
      <w:r w:rsidRPr="003314FE">
        <w:rPr>
          <w:rFonts w:cs="Times New Roman"/>
          <w:b/>
          <w:bCs/>
          <w:szCs w:val="28"/>
        </w:rPr>
        <w:t xml:space="preserve"> </w:t>
      </w:r>
      <w:r w:rsidRPr="003314FE">
        <w:rPr>
          <w:rFonts w:cs="Times New Roman"/>
          <w:b/>
          <w:bCs/>
          <w:szCs w:val="28"/>
          <w:lang w:val="vi-VN"/>
        </w:rPr>
        <w:t>giám sát việc giải quyết</w:t>
      </w:r>
      <w:r w:rsidRPr="003314FE">
        <w:rPr>
          <w:rFonts w:cs="Times New Roman"/>
          <w:b/>
          <w:bCs/>
          <w:szCs w:val="28"/>
        </w:rPr>
        <w:t>, trả lời kiến nghị</w:t>
      </w:r>
    </w:p>
    <w:p w14:paraId="6D656148" w14:textId="73027A31" w:rsidR="00DE659F" w:rsidRPr="003314FE" w:rsidRDefault="004C52B4" w:rsidP="004C52B4">
      <w:pPr>
        <w:spacing w:after="0" w:line="240" w:lineRule="auto"/>
        <w:jc w:val="center"/>
        <w:rPr>
          <w:rFonts w:cs="Times New Roman"/>
          <w:b/>
          <w:bCs/>
          <w:szCs w:val="28"/>
          <w:lang w:val="vi-VN"/>
        </w:rPr>
      </w:pPr>
      <w:r w:rsidRPr="003314FE">
        <w:rPr>
          <w:rFonts w:cs="Times New Roman"/>
          <w:b/>
          <w:bCs/>
          <w:szCs w:val="28"/>
          <w:lang w:val="vi-VN"/>
        </w:rPr>
        <w:t xml:space="preserve">của cử tri gửi đến </w:t>
      </w:r>
      <w:r w:rsidR="002A0CE9" w:rsidRPr="003314FE">
        <w:rPr>
          <w:rFonts w:cs="Times New Roman"/>
          <w:b/>
          <w:bCs/>
          <w:szCs w:val="28"/>
        </w:rPr>
        <w:t>K</w:t>
      </w:r>
      <w:r w:rsidRPr="003314FE">
        <w:rPr>
          <w:rFonts w:cs="Times New Roman"/>
          <w:b/>
          <w:bCs/>
          <w:szCs w:val="28"/>
          <w:lang w:val="vi-VN"/>
        </w:rPr>
        <w:t xml:space="preserve">ỳ họp thứ </w:t>
      </w:r>
      <w:r w:rsidR="00A23DF2" w:rsidRPr="003314FE">
        <w:rPr>
          <w:rFonts w:cs="Times New Roman"/>
          <w:b/>
          <w:bCs/>
          <w:szCs w:val="28"/>
        </w:rPr>
        <w:t>Hai</w:t>
      </w:r>
      <w:r w:rsidRPr="003314FE">
        <w:rPr>
          <w:rFonts w:cs="Times New Roman"/>
          <w:b/>
          <w:bCs/>
          <w:szCs w:val="28"/>
          <w:lang w:val="vi-VN"/>
        </w:rPr>
        <w:t>, Quốc hội khóa XV</w:t>
      </w:r>
      <w:r w:rsidR="00F3427E" w:rsidRPr="003314FE">
        <w:rPr>
          <w:rStyle w:val="EndnoteReference"/>
          <w:rFonts w:cs="Times New Roman"/>
          <w:b/>
          <w:bCs/>
          <w:szCs w:val="28"/>
          <w:lang w:val="vi-VN"/>
        </w:rPr>
        <w:endnoteReference w:id="1"/>
      </w:r>
    </w:p>
    <w:p w14:paraId="6551F35A" w14:textId="77777777" w:rsidR="00DE659F" w:rsidRPr="003314FE" w:rsidRDefault="00DE659F" w:rsidP="004C52B4">
      <w:pPr>
        <w:tabs>
          <w:tab w:val="left" w:pos="6836"/>
        </w:tabs>
        <w:spacing w:line="240" w:lineRule="auto"/>
        <w:ind w:firstLine="720"/>
        <w:jc w:val="both"/>
        <w:rPr>
          <w:rFonts w:cs="Times New Roman"/>
          <w:szCs w:val="28"/>
        </w:rPr>
      </w:pPr>
      <w:r w:rsidRPr="003314FE">
        <w:rPr>
          <w:rFonts w:cs="Times New Roman"/>
          <w:noProof/>
        </w:rPr>
        <mc:AlternateContent>
          <mc:Choice Requires="wps">
            <w:drawing>
              <wp:anchor distT="4294967276" distB="4294967276" distL="114300" distR="114300" simplePos="0" relativeHeight="251663360" behindDoc="0" locked="0" layoutInCell="1" allowOverlap="1" wp14:anchorId="68453735" wp14:editId="4263CC63">
                <wp:simplePos x="0" y="0"/>
                <wp:positionH relativeFrom="column">
                  <wp:posOffset>2180590</wp:posOffset>
                </wp:positionH>
                <wp:positionV relativeFrom="paragraph">
                  <wp:posOffset>64769</wp:posOffset>
                </wp:positionV>
                <wp:extent cx="16611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50945" id="Straight Connector 1" o:spid="_x0000_s1026" style="position:absolute;z-index:251663360;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171.7pt,5.1pt" to="3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"/>
            </w:pict>
          </mc:Fallback>
        </mc:AlternateContent>
      </w:r>
    </w:p>
    <w:p w14:paraId="22FBC777" w14:textId="77777777" w:rsidR="00C96728" w:rsidRPr="003314FE" w:rsidRDefault="00C96728" w:rsidP="00F3427E">
      <w:pPr>
        <w:tabs>
          <w:tab w:val="left" w:pos="3024"/>
        </w:tabs>
        <w:spacing w:before="120" w:after="120" w:line="240" w:lineRule="auto"/>
        <w:jc w:val="center"/>
        <w:rPr>
          <w:rFonts w:cs="Times New Roman"/>
          <w:bCs/>
          <w:szCs w:val="28"/>
        </w:rPr>
      </w:pPr>
    </w:p>
    <w:p w14:paraId="4734F862" w14:textId="77777777" w:rsidR="00C96728" w:rsidRPr="003314FE" w:rsidRDefault="00C96728" w:rsidP="00C96728">
      <w:pPr>
        <w:tabs>
          <w:tab w:val="left" w:pos="6836"/>
        </w:tabs>
        <w:spacing w:before="80" w:after="80" w:line="240" w:lineRule="auto"/>
        <w:jc w:val="center"/>
      </w:pPr>
      <w:r w:rsidRPr="003314FE">
        <w:t>Kính gửi: Các vị đại biểu Quốc hội</w:t>
      </w:r>
    </w:p>
    <w:p w14:paraId="5629AFAD" w14:textId="77777777" w:rsidR="00C96728" w:rsidRPr="003314FE" w:rsidRDefault="00C96728" w:rsidP="00C96728">
      <w:pPr>
        <w:tabs>
          <w:tab w:val="left" w:pos="3024"/>
        </w:tabs>
        <w:spacing w:before="120" w:after="120" w:line="240" w:lineRule="auto"/>
        <w:ind w:firstLine="567"/>
        <w:jc w:val="both"/>
        <w:rPr>
          <w:rFonts w:cs="Times New Roman"/>
          <w:b/>
          <w:bCs/>
          <w:szCs w:val="28"/>
        </w:rPr>
      </w:pPr>
    </w:p>
    <w:p w14:paraId="18456527" w14:textId="62A3D9D5" w:rsidR="00C96728" w:rsidRPr="003314FE" w:rsidRDefault="00C96728" w:rsidP="00C96728">
      <w:pPr>
        <w:tabs>
          <w:tab w:val="left" w:pos="3024"/>
        </w:tabs>
        <w:spacing w:before="120" w:after="120" w:line="240" w:lineRule="auto"/>
        <w:ind w:firstLine="567"/>
        <w:jc w:val="both"/>
        <w:rPr>
          <w:rFonts w:cs="Times New Roman"/>
          <w:bCs/>
          <w:sz w:val="30"/>
          <w:szCs w:val="28"/>
        </w:rPr>
      </w:pPr>
      <w:r w:rsidRPr="003314FE">
        <w:rPr>
          <w:rFonts w:cs="Times New Roman"/>
          <w:bCs/>
          <w:szCs w:val="28"/>
        </w:rPr>
        <w:t xml:space="preserve">Ủy ban Thường vụ Quốc hội đã có Báo cáo đầy đủ số </w:t>
      </w:r>
      <w:r w:rsidR="00994AC4" w:rsidRPr="003314FE">
        <w:rPr>
          <w:rFonts w:cs="Times New Roman"/>
          <w:bCs/>
          <w:szCs w:val="28"/>
        </w:rPr>
        <w:t>220</w:t>
      </w:r>
      <w:r w:rsidRPr="003314FE">
        <w:rPr>
          <w:rFonts w:cs="Times New Roman"/>
          <w:bCs/>
          <w:szCs w:val="28"/>
        </w:rPr>
        <w:t>/</w:t>
      </w:r>
      <w:r w:rsidRPr="003314FE">
        <w:t xml:space="preserve">BC-UBTVQH15 ngày </w:t>
      </w:r>
      <w:r w:rsidR="00994AC4" w:rsidRPr="003314FE">
        <w:t>20</w:t>
      </w:r>
      <w:r w:rsidRPr="003314FE">
        <w:t>/</w:t>
      </w:r>
      <w:r w:rsidR="00994AC4" w:rsidRPr="003314FE">
        <w:t>5</w:t>
      </w:r>
      <w:r w:rsidRPr="003314FE">
        <w:t>/2022 về kết quả giám sát việc giải quyết, trả lời kiến nghị của cử tri gửi đến Kỳ họp thứ Hai, Quốc hội khóa XV, Ủy ban Thường vụ Quốc hội kính trình Quốc hội báo cáo tóm tắt như sau:</w:t>
      </w:r>
    </w:p>
    <w:p w14:paraId="0F512A62" w14:textId="256D7D5B" w:rsidR="00DE659F" w:rsidRPr="003314FE" w:rsidRDefault="00DE659F" w:rsidP="00CA3C63">
      <w:pPr>
        <w:tabs>
          <w:tab w:val="left" w:pos="3024"/>
        </w:tabs>
        <w:spacing w:before="120" w:after="120" w:line="240" w:lineRule="auto"/>
        <w:ind w:firstLine="720"/>
        <w:jc w:val="both"/>
        <w:rPr>
          <w:b/>
        </w:rPr>
      </w:pPr>
      <w:r w:rsidRPr="003314FE">
        <w:rPr>
          <w:rFonts w:cs="Times New Roman"/>
          <w:b/>
          <w:bCs/>
          <w:szCs w:val="28"/>
          <w:lang w:val="vi-VN"/>
        </w:rPr>
        <w:t xml:space="preserve">I. </w:t>
      </w:r>
      <w:r w:rsidRPr="003314FE">
        <w:rPr>
          <w:rFonts w:cs="Times New Roman"/>
          <w:b/>
          <w:bCs/>
          <w:szCs w:val="28"/>
        </w:rPr>
        <w:t>Về k</w:t>
      </w:r>
      <w:r w:rsidRPr="003314FE">
        <w:rPr>
          <w:b/>
        </w:rPr>
        <w:t>iến nghị và kết quả giải quyết, trả lời kiến nghị của cử tri</w:t>
      </w:r>
    </w:p>
    <w:p w14:paraId="0F668A93" w14:textId="0E906BF1" w:rsidR="002D0D8A" w:rsidRPr="003314FE" w:rsidRDefault="00DE659F" w:rsidP="00CA3C63">
      <w:pPr>
        <w:tabs>
          <w:tab w:val="left" w:pos="3024"/>
        </w:tabs>
        <w:spacing w:before="120" w:after="120" w:line="240" w:lineRule="auto"/>
        <w:ind w:firstLine="720"/>
        <w:jc w:val="both"/>
        <w:rPr>
          <w:rFonts w:cs="Times New Roman"/>
          <w:szCs w:val="28"/>
        </w:rPr>
      </w:pPr>
      <w:r w:rsidRPr="003314FE">
        <w:rPr>
          <w:rFonts w:cs="Times New Roman"/>
          <w:spacing w:val="-2"/>
          <w:szCs w:val="28"/>
        </w:rPr>
        <w:t>T</w:t>
      </w:r>
      <w:r w:rsidRPr="003314FE">
        <w:rPr>
          <w:rFonts w:cs="Times New Roman"/>
          <w:szCs w:val="28"/>
        </w:rPr>
        <w:t xml:space="preserve">hông qua các cuộc tiếp xúc cử tri của các ĐBQH, đã có 3.393 kiến nghị được tổng hợp chuyển đến </w:t>
      </w:r>
      <w:r w:rsidRPr="003314FE">
        <w:rPr>
          <w:rFonts w:cs="Times New Roman"/>
          <w:spacing w:val="-2"/>
          <w:szCs w:val="28"/>
        </w:rPr>
        <w:t xml:space="preserve">các cơ quan có thẩm quyền giải quyết. </w:t>
      </w:r>
      <w:r w:rsidRPr="003314FE">
        <w:rPr>
          <w:szCs w:val="28"/>
        </w:rPr>
        <w:t xml:space="preserve">Kiến nghị của cử tri liên quan đến hầu hết các lĩnh vực của đời sống xã hội, </w:t>
      </w:r>
      <w:r w:rsidRPr="003314FE">
        <w:t>trong đó một số lĩnh vực tiếp tục được nhiều cử tri quan tâm như: Y tế</w:t>
      </w:r>
      <w:r w:rsidR="000462AF" w:rsidRPr="003314FE">
        <w:t>;</w:t>
      </w:r>
      <w:r w:rsidRPr="003314FE">
        <w:t xml:space="preserve"> Lao động, Thương binh và Xã hội</w:t>
      </w:r>
      <w:r w:rsidR="000462AF" w:rsidRPr="003314FE">
        <w:t>;</w:t>
      </w:r>
      <w:r w:rsidRPr="003314FE">
        <w:t xml:space="preserve"> Nông nghiệp, nông thôn</w:t>
      </w:r>
      <w:r w:rsidR="000462AF" w:rsidRPr="003314FE">
        <w:t>;</w:t>
      </w:r>
      <w:r w:rsidRPr="003314FE">
        <w:t xml:space="preserve"> Nội vụ</w:t>
      </w:r>
      <w:r w:rsidR="000462AF" w:rsidRPr="003314FE">
        <w:t>;</w:t>
      </w:r>
      <w:r w:rsidRPr="003314FE">
        <w:t xml:space="preserve"> Giao thông, vận tải</w:t>
      </w:r>
      <w:r w:rsidR="000462AF" w:rsidRPr="003314FE">
        <w:t>;</w:t>
      </w:r>
      <w:r w:rsidRPr="003314FE">
        <w:t xml:space="preserve"> Tài nguyên và Môi trường… Đến nay, </w:t>
      </w:r>
      <w:r w:rsidR="00F17B63" w:rsidRPr="003314FE">
        <w:t xml:space="preserve">100% </w:t>
      </w:r>
      <w:r w:rsidRPr="003314FE">
        <w:t>kiến nghị đã được giải quyết, trả lời cử tri</w:t>
      </w:r>
      <w:r w:rsidRPr="003314FE">
        <w:rPr>
          <w:rStyle w:val="EndnoteReference"/>
        </w:rPr>
        <w:endnoteReference w:id="2"/>
      </w:r>
      <w:r w:rsidRPr="003314FE">
        <w:t>.</w:t>
      </w:r>
      <w:r w:rsidR="00B01BB1" w:rsidRPr="003314FE">
        <w:t xml:space="preserve"> Kết quả như sau:</w:t>
      </w:r>
    </w:p>
    <w:p w14:paraId="3BBE4BEA" w14:textId="4D4B42ED" w:rsidR="00DE659F" w:rsidRPr="003314FE" w:rsidRDefault="002D0D8A" w:rsidP="002D0D8A">
      <w:pPr>
        <w:tabs>
          <w:tab w:val="left" w:pos="3024"/>
        </w:tabs>
        <w:spacing w:before="120" w:after="120" w:line="240" w:lineRule="auto"/>
        <w:ind w:firstLine="567"/>
        <w:jc w:val="both"/>
        <w:rPr>
          <w:rFonts w:cs="Times New Roman"/>
          <w:szCs w:val="28"/>
        </w:rPr>
      </w:pPr>
      <w:r w:rsidRPr="003314FE">
        <w:rPr>
          <w:rFonts w:cs="Times New Roman"/>
          <w:b/>
          <w:bCs/>
          <w:szCs w:val="28"/>
          <w:lang w:val="sv-SE"/>
        </w:rPr>
        <w:t xml:space="preserve">1. </w:t>
      </w:r>
      <w:r w:rsidR="00DE659F" w:rsidRPr="003314FE">
        <w:rPr>
          <w:rFonts w:cs="Times New Roman"/>
          <w:b/>
          <w:bCs/>
          <w:szCs w:val="28"/>
          <w:lang w:val="sv-SE"/>
        </w:rPr>
        <w:t>Quốc hội</w:t>
      </w:r>
      <w:r w:rsidR="00DE659F" w:rsidRPr="003314FE">
        <w:rPr>
          <w:rFonts w:cs="Times New Roman"/>
          <w:bCs/>
          <w:szCs w:val="28"/>
          <w:lang w:val="sv-SE"/>
        </w:rPr>
        <w:t>,</w:t>
      </w:r>
      <w:r w:rsidR="00DE659F" w:rsidRPr="003314FE">
        <w:rPr>
          <w:rFonts w:cs="Times New Roman"/>
          <w:b/>
          <w:bCs/>
          <w:szCs w:val="28"/>
          <w:lang w:val="sv-SE"/>
        </w:rPr>
        <w:t xml:space="preserve"> các cơ quan của Quốc hội</w:t>
      </w:r>
      <w:r w:rsidR="003C2641" w:rsidRPr="003314FE">
        <w:rPr>
          <w:rFonts w:cs="Times New Roman"/>
          <w:b/>
          <w:bCs/>
          <w:szCs w:val="28"/>
          <w:lang w:val="sv-SE"/>
        </w:rPr>
        <w:t>,</w:t>
      </w:r>
      <w:r w:rsidR="00DE659F" w:rsidRPr="003314FE">
        <w:rPr>
          <w:rFonts w:cs="Times New Roman"/>
          <w:b/>
          <w:bCs/>
          <w:szCs w:val="28"/>
          <w:lang w:val="sv-SE"/>
        </w:rPr>
        <w:t xml:space="preserve"> </w:t>
      </w:r>
      <w:r w:rsidR="00DE659F" w:rsidRPr="003314FE">
        <w:rPr>
          <w:rFonts w:cs="Times New Roman"/>
          <w:bCs/>
          <w:szCs w:val="28"/>
          <w:lang w:val="sv-SE"/>
        </w:rPr>
        <w:t>đã trả lời 110/110 kiến nghị.</w:t>
      </w:r>
    </w:p>
    <w:p w14:paraId="169E5708" w14:textId="40F6D4A5" w:rsidR="00DE659F" w:rsidRPr="003314FE" w:rsidRDefault="002D0D8A" w:rsidP="00531C8A">
      <w:pPr>
        <w:widowControl w:val="0"/>
        <w:spacing w:before="120" w:after="120" w:line="340" w:lineRule="exact"/>
        <w:ind w:firstLine="567"/>
        <w:jc w:val="both"/>
        <w:rPr>
          <w:rFonts w:cs="Times New Roman"/>
          <w:szCs w:val="28"/>
        </w:rPr>
      </w:pPr>
      <w:r w:rsidRPr="003314FE">
        <w:rPr>
          <w:rFonts w:ascii="Arial" w:hAnsi="Arial" w:cs="Arial"/>
          <w:sz w:val="18"/>
          <w:szCs w:val="18"/>
          <w:shd w:val="clear" w:color="auto" w:fill="FFFFFF"/>
        </w:rPr>
        <w:t> </w:t>
      </w:r>
      <w:bookmarkStart w:id="1" w:name="_Hlk102140616"/>
      <w:r w:rsidR="00DE659F" w:rsidRPr="003314FE">
        <w:rPr>
          <w:rFonts w:cs="Times New Roman"/>
          <w:bCs/>
          <w:iCs/>
          <w:szCs w:val="28"/>
          <w:lang w:eastAsia="vi-VN"/>
        </w:rPr>
        <w:t xml:space="preserve">Cử tri tin tưởng và đánh giá cao Quốc hội, UBTVQH </w:t>
      </w:r>
      <w:r w:rsidR="00DE659F" w:rsidRPr="003314FE">
        <w:t xml:space="preserve">với tinh thần chủ động </w:t>
      </w:r>
      <w:r w:rsidR="00033412" w:rsidRPr="003314FE">
        <w:t>dự báo</w:t>
      </w:r>
      <w:r w:rsidR="00557AA6" w:rsidRPr="003314FE">
        <w:t>;</w:t>
      </w:r>
      <w:r w:rsidR="00033412" w:rsidRPr="003314FE">
        <w:t xml:space="preserve"> chủ động vào cuộc từ sớm, từ xa; chủ động phối hợp và giữ vững kỷ cương </w:t>
      </w:r>
      <w:r w:rsidR="00DE659F" w:rsidRPr="003314FE">
        <w:t xml:space="preserve">đã tổ chức thành công Kỳ họp bất thường lần thứ Nhất </w:t>
      </w:r>
      <w:r w:rsidR="004F109D" w:rsidRPr="003314FE">
        <w:rPr>
          <w:rFonts w:cs="Times New Roman"/>
          <w:szCs w:val="28"/>
          <w:shd w:val="clear" w:color="auto" w:fill="FFFFFF"/>
        </w:rPr>
        <w:t>để</w:t>
      </w:r>
      <w:r w:rsidRPr="003314FE">
        <w:rPr>
          <w:rFonts w:cs="Times New Roman"/>
          <w:szCs w:val="28"/>
          <w:shd w:val="clear" w:color="auto" w:fill="FFFFFF"/>
        </w:rPr>
        <w:t xml:space="preserve"> kịp thời có những quyết sách quan trọng, giải quyết hiệu quả các vấn đề thực tiễn đặt ra</w:t>
      </w:r>
      <w:r w:rsidR="00A95EDF" w:rsidRPr="003314FE">
        <w:rPr>
          <w:rFonts w:cs="Times New Roman"/>
          <w:szCs w:val="28"/>
          <w:shd w:val="clear" w:color="auto" w:fill="FFFFFF"/>
        </w:rPr>
        <w:t xml:space="preserve"> </w:t>
      </w:r>
      <w:r w:rsidR="004F109D" w:rsidRPr="003314FE">
        <w:rPr>
          <w:rFonts w:cs="Times New Roman"/>
          <w:szCs w:val="28"/>
          <w:shd w:val="clear" w:color="auto" w:fill="FFFFFF"/>
        </w:rPr>
        <w:t xml:space="preserve">nhằm </w:t>
      </w:r>
      <w:r w:rsidRPr="003314FE">
        <w:rPr>
          <w:rFonts w:cs="Times New Roman"/>
          <w:szCs w:val="28"/>
          <w:shd w:val="clear" w:color="auto" w:fill="FFFFFF"/>
        </w:rPr>
        <w:t>tháo gỡ khó khăn, vướng mắc, góp phần phục hồi, phát triển kinh tế - xã hội của đất nước và phòng, chống dịch C</w:t>
      </w:r>
      <w:r w:rsidR="000C1501" w:rsidRPr="003314FE">
        <w:rPr>
          <w:rFonts w:cs="Times New Roman"/>
          <w:szCs w:val="28"/>
          <w:shd w:val="clear" w:color="auto" w:fill="FFFFFF"/>
        </w:rPr>
        <w:t xml:space="preserve">ovid </w:t>
      </w:r>
      <w:r w:rsidRPr="003314FE">
        <w:rPr>
          <w:rFonts w:cs="Times New Roman"/>
          <w:szCs w:val="28"/>
          <w:shd w:val="clear" w:color="auto" w:fill="FFFFFF"/>
        </w:rPr>
        <w:t>-19.</w:t>
      </w:r>
      <w:r w:rsidR="00DE659F" w:rsidRPr="003314FE">
        <w:t xml:space="preserve"> </w:t>
      </w:r>
      <w:bookmarkEnd w:id="1"/>
      <w:r w:rsidR="000C32C4" w:rsidRPr="003314FE">
        <w:t>C</w:t>
      </w:r>
      <w:r w:rsidR="00DE659F" w:rsidRPr="003314FE">
        <w:t xml:space="preserve">ông tác xây dựng pháp luật tiếp tục có nhiều cải tiến, đổi mới, tăng cường siết chặt kỷ luật, kỷ cương nhằm xây dựng và </w:t>
      </w:r>
      <w:r w:rsidR="00DE659F" w:rsidRPr="003314FE">
        <w:rPr>
          <w:lang w:val="vi-VN"/>
        </w:rPr>
        <w:t>hoàn thiện hệ thống pháp luật</w:t>
      </w:r>
      <w:r w:rsidR="00DE659F" w:rsidRPr="003314FE">
        <w:t xml:space="preserve"> đầy đủ,</w:t>
      </w:r>
      <w:r w:rsidR="00DE659F" w:rsidRPr="003314FE">
        <w:rPr>
          <w:lang w:val="vi-VN"/>
        </w:rPr>
        <w:t xml:space="preserve"> đồng bộ, thống nhất, kịp thời</w:t>
      </w:r>
      <w:r w:rsidR="00DE659F" w:rsidRPr="003314FE">
        <w:t>,</w:t>
      </w:r>
      <w:r w:rsidR="00DE659F" w:rsidRPr="003314FE">
        <w:rPr>
          <w:lang w:val="vi-VN"/>
        </w:rPr>
        <w:t xml:space="preserve"> lấy quyền và lợi ích hợp pháp, chính đáng của người dân, doanh nghiệp làm trọng tâm</w:t>
      </w:r>
      <w:r w:rsidR="00DE659F" w:rsidRPr="003314FE">
        <w:t xml:space="preserve">. </w:t>
      </w:r>
      <w:r w:rsidR="00120758" w:rsidRPr="003314FE">
        <w:rPr>
          <w:iCs/>
          <w:lang w:val="sv-SE"/>
        </w:rPr>
        <w:t>Tiếp thu KNCT về đổi mới, nâng cao hiệu quả, hiệu lực của công tác giám sát, trong đó, tập trung vào giám sát những vấn đề bức xúc cử tri đang quan tâm</w:t>
      </w:r>
      <w:r w:rsidR="00120758" w:rsidRPr="003314FE">
        <w:t xml:space="preserve">, </w:t>
      </w:r>
      <w:r w:rsidR="00531C8A" w:rsidRPr="003314FE">
        <w:t>Quốc hội tiến hành giám sát tối cao 02 chuyên đề: “</w:t>
      </w:r>
      <w:r w:rsidR="00531C8A" w:rsidRPr="003314FE">
        <w:rPr>
          <w:bCs/>
          <w:shd w:val="clear" w:color="auto" w:fill="FFFFFF"/>
        </w:rPr>
        <w:t>Việc thực hiện chính sách, pháp luật về thực hành tiết kiệm, chống lãng phí giai đoạn 2016 - 2021</w:t>
      </w:r>
      <w:r w:rsidR="00531C8A" w:rsidRPr="003314FE">
        <w:t xml:space="preserve">”, </w:t>
      </w:r>
      <w:r w:rsidR="00531C8A" w:rsidRPr="003314FE">
        <w:rPr>
          <w:lang w:val="nl-NL"/>
        </w:rPr>
        <w:t>“</w:t>
      </w:r>
      <w:r w:rsidR="00531C8A" w:rsidRPr="003314FE">
        <w:rPr>
          <w:spacing w:val="-4"/>
        </w:rPr>
        <w:t xml:space="preserve">Việc thực hiện chính sách, pháp luật về </w:t>
      </w:r>
      <w:r w:rsidR="00531C8A" w:rsidRPr="003314FE">
        <w:rPr>
          <w:iCs/>
        </w:rPr>
        <w:t>công tác quy hoạch kể từ khi Luật Quy hoạch có hiệu lực thi hành</w:t>
      </w:r>
      <w:r w:rsidR="00531C8A" w:rsidRPr="003314FE">
        <w:rPr>
          <w:lang w:val="nl-NL"/>
        </w:rPr>
        <w:t xml:space="preserve">”. UBTVQH đang giám sát 02 chuyên đề </w:t>
      </w:r>
      <w:r w:rsidR="00531C8A" w:rsidRPr="003314FE">
        <w:rPr>
          <w:rFonts w:eastAsia="Calibri"/>
          <w:iCs/>
          <w:spacing w:val="-4"/>
          <w:lang w:val="en-GB"/>
        </w:rPr>
        <w:t>“</w:t>
      </w:r>
      <w:r w:rsidR="00531C8A" w:rsidRPr="003314FE">
        <w:rPr>
          <w:rFonts w:eastAsia="Calibri"/>
          <w:spacing w:val="-4"/>
          <w:lang w:val="vi-VN"/>
        </w:rPr>
        <w:t xml:space="preserve">Việc thực hiện các nghị quyết của </w:t>
      </w:r>
      <w:r w:rsidR="00531C8A" w:rsidRPr="003314FE">
        <w:rPr>
          <w:rFonts w:eastAsia="Calibri"/>
          <w:spacing w:val="-4"/>
        </w:rPr>
        <w:t>UBTVQH</w:t>
      </w:r>
      <w:r w:rsidR="00531C8A" w:rsidRPr="003314FE">
        <w:rPr>
          <w:rFonts w:eastAsia="Calibri"/>
          <w:spacing w:val="-4"/>
          <w:lang w:val="vi-VN"/>
        </w:rPr>
        <w:t xml:space="preserve"> về việc sắp xếp các đơn vị hành chính cấp huyện, cấp xã trong giai đoạn 2019 </w:t>
      </w:r>
      <w:r w:rsidR="00531C8A" w:rsidRPr="003314FE">
        <w:rPr>
          <w:rFonts w:eastAsia="Calibri"/>
          <w:spacing w:val="-4"/>
        </w:rPr>
        <w:t>-</w:t>
      </w:r>
      <w:r w:rsidR="00531C8A" w:rsidRPr="003314FE">
        <w:rPr>
          <w:rFonts w:eastAsia="Calibri"/>
          <w:spacing w:val="-4"/>
          <w:lang w:val="vi-VN"/>
        </w:rPr>
        <w:t xml:space="preserve"> 2021</w:t>
      </w:r>
      <w:r w:rsidR="00531C8A" w:rsidRPr="003314FE">
        <w:rPr>
          <w:rFonts w:eastAsia="Calibri"/>
          <w:spacing w:val="-4"/>
          <w:lang w:val="en-GB"/>
        </w:rPr>
        <w:t xml:space="preserve">”, </w:t>
      </w:r>
      <w:r w:rsidR="00531C8A" w:rsidRPr="003314FE">
        <w:rPr>
          <w:rFonts w:eastAsia="Calibri"/>
          <w:iCs/>
          <w:lang w:val="en-GB"/>
        </w:rPr>
        <w:t>“</w:t>
      </w:r>
      <w:r w:rsidR="00531C8A" w:rsidRPr="003314FE">
        <w:rPr>
          <w:rFonts w:eastAsia="Calibri"/>
          <w:iCs/>
          <w:lang w:val="nl-NL"/>
        </w:rPr>
        <w:t xml:space="preserve">Việc </w:t>
      </w:r>
      <w:r w:rsidR="00531C8A" w:rsidRPr="003314FE">
        <w:rPr>
          <w:rFonts w:eastAsia="Calibri"/>
          <w:iCs/>
          <w:lang w:val="nl-NL"/>
        </w:rPr>
        <w:lastRenderedPageBreak/>
        <w:t>thực hiện pháp luật về tiếp công dân và giải quyết khiếu nại, tố cáo từ ngày 01/7/2016 đến ngày 01/7/2021”</w:t>
      </w:r>
      <w:r w:rsidR="000C32C4" w:rsidRPr="003314FE">
        <w:rPr>
          <w:rFonts w:eastAsia="Calibri"/>
          <w:i/>
          <w:iCs/>
          <w:lang w:val="nl-NL"/>
        </w:rPr>
        <w:t xml:space="preserve">; </w:t>
      </w:r>
      <w:r w:rsidR="00DE659F" w:rsidRPr="003314FE">
        <w:rPr>
          <w:iCs/>
        </w:rPr>
        <w:t xml:space="preserve">lần đầu tiên tại phiên họp UBTVQH đã tổ chức </w:t>
      </w:r>
      <w:r w:rsidR="00DE659F" w:rsidRPr="003314FE">
        <w:rPr>
          <w:bCs/>
          <w:shd w:val="clear" w:color="auto" w:fill="FFFFFF"/>
        </w:rPr>
        <w:t xml:space="preserve">chất vấn trực tiếp và kết nối trực tuyến từ Nhà Quốc hội đến Đoàn ĐBQH các tỉnh, thành phố trong cả nước đối với Bộ trưởng Bộ Công thương và Bộ trưởng Bộ </w:t>
      </w:r>
      <w:r w:rsidR="00A95EDF" w:rsidRPr="003314FE">
        <w:rPr>
          <w:bCs/>
          <w:shd w:val="clear" w:color="auto" w:fill="FFFFFF"/>
        </w:rPr>
        <w:t>Tài nguyên và Môi trường</w:t>
      </w:r>
      <w:r w:rsidR="00DE659F" w:rsidRPr="003314FE">
        <w:rPr>
          <w:iCs/>
        </w:rPr>
        <w:t xml:space="preserve"> về những vấn đề cử tri và xã hội quan tâm như: </w:t>
      </w:r>
      <w:r w:rsidR="00DE659F" w:rsidRPr="003314FE">
        <w:rPr>
          <w:shd w:val="clear" w:color="auto" w:fill="FFFFFF"/>
        </w:rPr>
        <w:t>tình hình sản xuất, nhập khẩu, cung ứng xăng dầu, công tác điều hành giá xăng dầu; quản lý, sử dụng đất đai tại đô thị; trách nhiệm và giải pháp ngăn chặn tình trạng đẩy giá đất lên cao nhằm trục lợi…</w:t>
      </w:r>
      <w:r w:rsidR="00531C8A" w:rsidRPr="003314FE">
        <w:rPr>
          <w:shd w:val="clear" w:color="auto" w:fill="FFFFFF"/>
        </w:rPr>
        <w:t xml:space="preserve"> </w:t>
      </w:r>
      <w:r w:rsidR="002C4FBD" w:rsidRPr="003314FE">
        <w:rPr>
          <w:shd w:val="clear" w:color="auto" w:fill="FFFFFF"/>
        </w:rPr>
        <w:t xml:space="preserve">Bên cạnh đó, việc </w:t>
      </w:r>
      <w:r w:rsidR="00531C8A" w:rsidRPr="003314FE">
        <w:t>UBTVQH</w:t>
      </w:r>
      <w:r w:rsidR="002C4FBD" w:rsidRPr="003314FE">
        <w:t xml:space="preserve"> quyết định</w:t>
      </w:r>
      <w:r w:rsidR="00531C8A" w:rsidRPr="003314FE">
        <w:t xml:space="preserve"> nghe báo cáo về công tác dân nguyện h</w:t>
      </w:r>
      <w:r w:rsidR="00CA6698" w:rsidRPr="003314FE">
        <w:t>ằ</w:t>
      </w:r>
      <w:r w:rsidR="00531C8A" w:rsidRPr="003314FE">
        <w:t>ng tháng đã tạo nề</w:t>
      </w:r>
      <w:r w:rsidR="00E864C6" w:rsidRPr="003314FE">
        <w:t>n</w:t>
      </w:r>
      <w:r w:rsidR="00531C8A" w:rsidRPr="003314FE">
        <w:t xml:space="preserve"> nếp và chuyển biến về chất lượng, trách nhiệm của các Bộ, ngành trong việc giải quyết KNCT.</w:t>
      </w:r>
    </w:p>
    <w:p w14:paraId="7AF816FD" w14:textId="25B091FA" w:rsidR="00DE659F" w:rsidRPr="003314FE" w:rsidRDefault="00DE659F" w:rsidP="00A61AC7">
      <w:pPr>
        <w:widowControl w:val="0"/>
        <w:spacing w:before="120" w:after="120" w:line="240" w:lineRule="auto"/>
        <w:ind w:firstLine="720"/>
        <w:jc w:val="both"/>
        <w:rPr>
          <w:rFonts w:eastAsia="Batang" w:cs="Times New Roman"/>
          <w:bCs/>
          <w:szCs w:val="28"/>
          <w:lang w:val="af-ZA" w:eastAsia="fr-FR"/>
        </w:rPr>
      </w:pPr>
      <w:r w:rsidRPr="003314FE">
        <w:rPr>
          <w:rFonts w:eastAsia="Batang" w:cs="Times New Roman"/>
          <w:b/>
          <w:bCs/>
          <w:szCs w:val="28"/>
          <w:lang w:val="af-ZA" w:eastAsia="fr-FR"/>
        </w:rPr>
        <w:t>2. Chính phủ</w:t>
      </w:r>
      <w:r w:rsidRPr="003314FE">
        <w:rPr>
          <w:rFonts w:eastAsia="Batang" w:cs="Times New Roman"/>
          <w:bCs/>
          <w:szCs w:val="28"/>
          <w:lang w:val="af-ZA" w:eastAsia="fr-FR"/>
        </w:rPr>
        <w:t>,</w:t>
      </w:r>
      <w:r w:rsidRPr="003314FE">
        <w:rPr>
          <w:rFonts w:eastAsia="Batang" w:cs="Times New Roman"/>
          <w:b/>
          <w:bCs/>
          <w:szCs w:val="28"/>
          <w:lang w:val="af-ZA" w:eastAsia="fr-FR"/>
        </w:rPr>
        <w:t xml:space="preserve"> các Bộ, ngành Trung ương</w:t>
      </w:r>
      <w:r w:rsidRPr="003314FE">
        <w:rPr>
          <w:rFonts w:eastAsia="Batang" w:cs="Times New Roman"/>
          <w:bCs/>
          <w:szCs w:val="28"/>
          <w:lang w:val="af-ZA" w:eastAsia="fr-FR"/>
        </w:rPr>
        <w:t>,</w:t>
      </w:r>
      <w:r w:rsidRPr="003314FE">
        <w:rPr>
          <w:rFonts w:eastAsia="Batang" w:cs="Times New Roman"/>
          <w:b/>
          <w:bCs/>
          <w:szCs w:val="28"/>
          <w:lang w:val="af-ZA" w:eastAsia="fr-FR"/>
        </w:rPr>
        <w:t xml:space="preserve"> </w:t>
      </w:r>
      <w:r w:rsidRPr="003314FE">
        <w:rPr>
          <w:rFonts w:eastAsia="Batang" w:cs="Times New Roman"/>
          <w:szCs w:val="28"/>
          <w:shd w:val="clear" w:color="auto" w:fill="FFFFFF"/>
          <w:lang w:val="af-ZA" w:eastAsia="fr-FR"/>
        </w:rPr>
        <w:t xml:space="preserve">đã </w:t>
      </w:r>
      <w:r w:rsidR="00A0395E" w:rsidRPr="003314FE">
        <w:rPr>
          <w:rFonts w:eastAsia="Batang" w:cs="Times New Roman"/>
          <w:szCs w:val="28"/>
          <w:shd w:val="clear" w:color="auto" w:fill="FFFFFF"/>
          <w:lang w:val="af-ZA" w:eastAsia="fr-FR"/>
        </w:rPr>
        <w:t>giải quyết</w:t>
      </w:r>
      <w:r w:rsidR="00A2659F" w:rsidRPr="003314FE">
        <w:rPr>
          <w:rFonts w:eastAsia="Batang" w:cs="Times New Roman"/>
          <w:szCs w:val="28"/>
          <w:shd w:val="clear" w:color="auto" w:fill="FFFFFF"/>
          <w:lang w:val="af-ZA" w:eastAsia="fr-FR"/>
        </w:rPr>
        <w:t xml:space="preserve"> và </w:t>
      </w:r>
      <w:r w:rsidRPr="003314FE">
        <w:rPr>
          <w:rFonts w:eastAsia="Batang" w:cs="Times New Roman"/>
          <w:szCs w:val="28"/>
          <w:shd w:val="clear" w:color="auto" w:fill="FFFFFF"/>
          <w:lang w:val="af-ZA" w:eastAsia="fr-FR"/>
        </w:rPr>
        <w:t xml:space="preserve">trả lời </w:t>
      </w:r>
      <w:r w:rsidRPr="003314FE">
        <w:rPr>
          <w:highlight w:val="white"/>
        </w:rPr>
        <w:t>3.217/3.217  kiến nghị</w:t>
      </w:r>
      <w:r w:rsidRPr="003314FE">
        <w:t xml:space="preserve">. </w:t>
      </w:r>
    </w:p>
    <w:p w14:paraId="2A9BDFB9" w14:textId="72F38AC3" w:rsidR="00915BCC" w:rsidRPr="003314FE" w:rsidRDefault="00DE659F" w:rsidP="00080BD9">
      <w:pPr>
        <w:spacing w:before="120" w:after="120" w:line="240" w:lineRule="auto"/>
        <w:ind w:firstLine="567"/>
        <w:jc w:val="both"/>
      </w:pPr>
      <w:r w:rsidRPr="003314FE">
        <w:t xml:space="preserve">Nhìn chung, các KNCT đã được Chính phủ, các Bộ, ngành Trung ương </w:t>
      </w:r>
      <w:r w:rsidR="000A60BE" w:rsidRPr="003314FE">
        <w:t>tập trung</w:t>
      </w:r>
      <w:r w:rsidRPr="003314FE">
        <w:t xml:space="preserve"> nghiên cứu giải quyết</w:t>
      </w:r>
      <w:r w:rsidR="00237AF0" w:rsidRPr="003314FE">
        <w:t xml:space="preserve">, </w:t>
      </w:r>
      <w:r w:rsidRPr="003314FE">
        <w:t xml:space="preserve">thể </w:t>
      </w:r>
      <w:r w:rsidR="00A95EDF" w:rsidRPr="003314FE">
        <w:t xml:space="preserve">hiện </w:t>
      </w:r>
      <w:r w:rsidRPr="003314FE">
        <w:t xml:space="preserve">trách nhiệm cao trong quản lý nhà nước. Nhiều KNCT được giải quyết đã kịp thời </w:t>
      </w:r>
      <w:r w:rsidRPr="003314FE">
        <w:rPr>
          <w:highlight w:val="white"/>
        </w:rPr>
        <w:t>tháo gỡ những khó khăn, vướng mắc</w:t>
      </w:r>
      <w:r w:rsidRPr="003314FE">
        <w:t xml:space="preserve"> góp phần ổn định và cải thiện đời sống của Nhân dân. </w:t>
      </w:r>
      <w:r w:rsidR="00915BCC" w:rsidRPr="003314FE">
        <w:t xml:space="preserve">Một số kiến nghị cụ thể </w:t>
      </w:r>
      <w:r w:rsidR="00237AF0" w:rsidRPr="003314FE">
        <w:t xml:space="preserve">đã </w:t>
      </w:r>
      <w:r w:rsidR="00915BCC" w:rsidRPr="003314FE">
        <w:t xml:space="preserve">được </w:t>
      </w:r>
      <w:r w:rsidR="00237AF0" w:rsidRPr="003314FE">
        <w:t xml:space="preserve">các </w:t>
      </w:r>
      <w:r w:rsidR="00915BCC" w:rsidRPr="003314FE">
        <w:t>Bộ, ngành nghiên cứu, đưa ra các giải pháp thiết thực để giải quyết hoặc giải đáp về những vấn đề cử tri quan tâm</w:t>
      </w:r>
      <w:r w:rsidR="000A60BE" w:rsidRPr="003314FE">
        <w:t>, đáp ứng được nguyện vọng của cử tri</w:t>
      </w:r>
      <w:r w:rsidR="00915BCC" w:rsidRPr="003314FE">
        <w:t xml:space="preserve"> như: Bộ Công thương</w:t>
      </w:r>
      <w:r w:rsidR="000462AF" w:rsidRPr="003314FE">
        <w:t>;</w:t>
      </w:r>
      <w:r w:rsidR="00915BCC" w:rsidRPr="003314FE">
        <w:t xml:space="preserve"> Bộ Công an</w:t>
      </w:r>
      <w:r w:rsidR="000462AF" w:rsidRPr="003314FE">
        <w:t>;</w:t>
      </w:r>
      <w:r w:rsidR="00915BCC" w:rsidRPr="003314FE">
        <w:t xml:space="preserve"> Bộ Nội vụ</w:t>
      </w:r>
      <w:r w:rsidR="000462AF" w:rsidRPr="003314FE">
        <w:t>;</w:t>
      </w:r>
      <w:r w:rsidR="00915BCC" w:rsidRPr="003314FE">
        <w:t xml:space="preserve"> Bộ Y tế</w:t>
      </w:r>
      <w:r w:rsidR="000462AF" w:rsidRPr="003314FE">
        <w:t>;</w:t>
      </w:r>
      <w:r w:rsidR="00915BCC" w:rsidRPr="003314FE">
        <w:t xml:space="preserve"> Bộ Tài chính</w:t>
      </w:r>
      <w:r w:rsidR="000462AF" w:rsidRPr="003314FE">
        <w:t>;</w:t>
      </w:r>
      <w:r w:rsidR="00915BCC" w:rsidRPr="003314FE">
        <w:t xml:space="preserve"> Bộ </w:t>
      </w:r>
      <w:r w:rsidR="00237AF0" w:rsidRPr="003314FE">
        <w:t>Lao động, Thương binh và Xã hội</w:t>
      </w:r>
      <w:r w:rsidR="000462AF" w:rsidRPr="003314FE">
        <w:t>;</w:t>
      </w:r>
      <w:r w:rsidR="00915BCC" w:rsidRPr="003314FE">
        <w:t xml:space="preserve"> Bộ </w:t>
      </w:r>
      <w:r w:rsidR="00237AF0" w:rsidRPr="003314FE">
        <w:t>Giáo dục và Đào tạo</w:t>
      </w:r>
      <w:r w:rsidR="000462AF" w:rsidRPr="003314FE">
        <w:t>;</w:t>
      </w:r>
      <w:r w:rsidR="00915BCC" w:rsidRPr="003314FE">
        <w:t xml:space="preserve"> </w:t>
      </w:r>
      <w:r w:rsidR="008B7C86" w:rsidRPr="003314FE">
        <w:t xml:space="preserve">Bộ </w:t>
      </w:r>
      <w:r w:rsidR="00237AF0" w:rsidRPr="003314FE">
        <w:t>Nông nghiệp và phát triển nông thôn</w:t>
      </w:r>
      <w:r w:rsidR="000462AF" w:rsidRPr="003314FE">
        <w:t>;</w:t>
      </w:r>
      <w:r w:rsidR="00A8274F" w:rsidRPr="003314FE">
        <w:t xml:space="preserve"> </w:t>
      </w:r>
      <w:r w:rsidR="008B7C86" w:rsidRPr="003314FE">
        <w:t xml:space="preserve">Bộ </w:t>
      </w:r>
      <w:r w:rsidR="00237AF0" w:rsidRPr="003314FE">
        <w:t>Giao thông, vận tải</w:t>
      </w:r>
      <w:r w:rsidR="000462AF" w:rsidRPr="003314FE">
        <w:t>;</w:t>
      </w:r>
      <w:r w:rsidR="008B7C86" w:rsidRPr="003314FE">
        <w:t xml:space="preserve"> Bộ </w:t>
      </w:r>
      <w:r w:rsidR="00237AF0" w:rsidRPr="003314FE">
        <w:t>Kế hoạch và Đầu tư</w:t>
      </w:r>
      <w:r w:rsidR="000462AF" w:rsidRPr="003314FE">
        <w:t>;</w:t>
      </w:r>
      <w:r w:rsidR="008B7C86" w:rsidRPr="003314FE">
        <w:t xml:space="preserve"> Bộ </w:t>
      </w:r>
      <w:r w:rsidR="00237AF0" w:rsidRPr="003314FE">
        <w:t>Tài nguyên và Môi trường</w:t>
      </w:r>
      <w:r w:rsidR="000462AF" w:rsidRPr="003314FE">
        <w:t>;</w:t>
      </w:r>
      <w:r w:rsidR="008B7C86" w:rsidRPr="003314FE">
        <w:t xml:space="preserve"> Bộ </w:t>
      </w:r>
      <w:r w:rsidR="00237AF0" w:rsidRPr="003314FE">
        <w:t>Thông tin và Truyền thông</w:t>
      </w:r>
      <w:r w:rsidR="000462AF" w:rsidRPr="003314FE">
        <w:t>;</w:t>
      </w:r>
      <w:r w:rsidR="008B7C86" w:rsidRPr="003314FE">
        <w:t xml:space="preserve"> </w:t>
      </w:r>
      <w:r w:rsidR="00A35E9E" w:rsidRPr="003314FE">
        <w:t>Bộ Tư pháp; Ngân hàng Nhà nước Việt Nam</w:t>
      </w:r>
      <w:r w:rsidR="000462AF" w:rsidRPr="003314FE">
        <w:t>;</w:t>
      </w:r>
      <w:r w:rsidR="00A35E9E" w:rsidRPr="003314FE">
        <w:t xml:space="preserve"> </w:t>
      </w:r>
      <w:r w:rsidR="00915BCC" w:rsidRPr="003314FE">
        <w:t>Ủy ban Dân tộc…</w:t>
      </w:r>
    </w:p>
    <w:p w14:paraId="65EBF825" w14:textId="40A9D4CC" w:rsidR="00DE659F" w:rsidRPr="003314FE" w:rsidRDefault="00DE659F" w:rsidP="00AC15B4">
      <w:pPr>
        <w:spacing w:before="120" w:after="120" w:line="240" w:lineRule="auto"/>
        <w:ind w:firstLine="567"/>
        <w:jc w:val="both"/>
        <w:rPr>
          <w:rFonts w:cs="Times New Roman"/>
          <w:b/>
          <w:bCs/>
          <w:szCs w:val="28"/>
          <w:lang w:val="sv-SE"/>
        </w:rPr>
      </w:pPr>
      <w:r w:rsidRPr="003314FE">
        <w:rPr>
          <w:rFonts w:cs="Times New Roman"/>
          <w:b/>
          <w:szCs w:val="28"/>
        </w:rPr>
        <w:t>3.</w:t>
      </w:r>
      <w:r w:rsidRPr="003314FE">
        <w:rPr>
          <w:rFonts w:cs="Times New Roman"/>
          <w:szCs w:val="28"/>
        </w:rPr>
        <w:t xml:space="preserve"> </w:t>
      </w:r>
      <w:r w:rsidRPr="003314FE">
        <w:rPr>
          <w:rFonts w:cs="Times New Roman"/>
          <w:b/>
          <w:bCs/>
          <w:szCs w:val="28"/>
          <w:lang w:val="sv-SE"/>
        </w:rPr>
        <w:t xml:space="preserve">Tòa án nhân dân tối cao, Viện kiểm sát nhân dân tối cao </w:t>
      </w:r>
      <w:r w:rsidRPr="003314FE">
        <w:rPr>
          <w:rFonts w:cs="Times New Roman"/>
          <w:bCs/>
          <w:szCs w:val="28"/>
          <w:lang w:val="sv-SE"/>
        </w:rPr>
        <w:t>đã</w:t>
      </w:r>
      <w:r w:rsidR="00A0395E" w:rsidRPr="003314FE">
        <w:rPr>
          <w:rFonts w:cs="Times New Roman"/>
          <w:bCs/>
          <w:szCs w:val="28"/>
          <w:lang w:val="sv-SE"/>
        </w:rPr>
        <w:t xml:space="preserve"> giải quyết,</w:t>
      </w:r>
      <w:r w:rsidRPr="003314FE">
        <w:rPr>
          <w:rFonts w:cs="Times New Roman"/>
          <w:bCs/>
          <w:szCs w:val="28"/>
          <w:lang w:val="sv-SE"/>
        </w:rPr>
        <w:t xml:space="preserve"> trả lời 41</w:t>
      </w:r>
      <w:r w:rsidRPr="003314FE">
        <w:rPr>
          <w:rFonts w:cs="Times New Roman"/>
          <w:szCs w:val="28"/>
          <w:lang w:val="af-ZA"/>
        </w:rPr>
        <w:t xml:space="preserve">/41 kiến nghị. Trong đó, </w:t>
      </w:r>
      <w:r w:rsidRPr="003314FE">
        <w:t>TANDTC, VKSNDTC đã trả lời về quy định tổ chức phiên tòa trực tuyến; việc tiếp tục thực hiện nghiêm các biện pháp nâng cao chất lượng xét xử</w:t>
      </w:r>
      <w:r w:rsidR="00237AF0" w:rsidRPr="003314FE">
        <w:t xml:space="preserve"> </w:t>
      </w:r>
      <w:r w:rsidRPr="003314FE">
        <w:rPr>
          <w:rFonts w:cs="Times New Roman"/>
          <w:bCs/>
          <w:szCs w:val="28"/>
          <w:lang w:val="sv-SE"/>
        </w:rPr>
        <w:t>...</w:t>
      </w:r>
    </w:p>
    <w:p w14:paraId="0529582B" w14:textId="48A7BC34" w:rsidR="00DE659F" w:rsidRPr="003314FE" w:rsidRDefault="00DE659F" w:rsidP="00AC15B4">
      <w:pPr>
        <w:spacing w:before="120" w:after="120" w:line="240" w:lineRule="auto"/>
        <w:ind w:firstLine="567"/>
        <w:jc w:val="both"/>
        <w:rPr>
          <w:rFonts w:cs="Times New Roman"/>
          <w:b/>
          <w:bCs/>
          <w:szCs w:val="28"/>
          <w:lang w:val="sv-SE"/>
        </w:rPr>
      </w:pPr>
      <w:r w:rsidRPr="003314FE">
        <w:rPr>
          <w:rFonts w:cs="Times New Roman"/>
          <w:b/>
          <w:bCs/>
          <w:szCs w:val="28"/>
          <w:lang w:val="sv-SE"/>
        </w:rPr>
        <w:t xml:space="preserve">II. Về một số hạn chế </w:t>
      </w:r>
    </w:p>
    <w:p w14:paraId="539EBC3E" w14:textId="2DE829EF" w:rsidR="00DE659F" w:rsidRPr="003314FE" w:rsidRDefault="00DE659F" w:rsidP="0024686D">
      <w:pPr>
        <w:tabs>
          <w:tab w:val="left" w:pos="3024"/>
        </w:tabs>
        <w:spacing w:before="120" w:after="120" w:line="240" w:lineRule="auto"/>
        <w:ind w:firstLine="567"/>
        <w:jc w:val="both"/>
        <w:rPr>
          <w:rFonts w:cs="Times New Roman"/>
          <w:bCs/>
          <w:szCs w:val="28"/>
          <w:lang w:val="af-ZA"/>
        </w:rPr>
      </w:pPr>
      <w:r w:rsidRPr="003314FE">
        <w:rPr>
          <w:rFonts w:cs="Times New Roman"/>
          <w:bCs/>
          <w:szCs w:val="28"/>
          <w:lang w:val="af-ZA"/>
        </w:rPr>
        <w:t>Bên cạnh những kết quả đạt được, việc giải quyết, trả lời kiến nghị của cử tri vẫn còn một số hạn chế</w:t>
      </w:r>
      <w:r w:rsidR="00033412" w:rsidRPr="003314FE">
        <w:rPr>
          <w:rFonts w:cs="Times New Roman"/>
          <w:bCs/>
          <w:szCs w:val="28"/>
          <w:lang w:val="af-ZA"/>
        </w:rPr>
        <w:t>:</w:t>
      </w:r>
    </w:p>
    <w:p w14:paraId="09542350" w14:textId="7CC20627" w:rsidR="00DE659F" w:rsidRPr="003314FE" w:rsidRDefault="00DE659F" w:rsidP="00DE659F">
      <w:pPr>
        <w:tabs>
          <w:tab w:val="left" w:pos="3024"/>
        </w:tabs>
        <w:spacing w:before="120" w:after="120" w:line="240" w:lineRule="auto"/>
        <w:ind w:firstLine="562"/>
        <w:jc w:val="both"/>
        <w:rPr>
          <w:b/>
          <w:bCs/>
          <w:i/>
          <w:iCs/>
          <w:lang w:val="af-ZA"/>
        </w:rPr>
      </w:pPr>
      <w:r w:rsidRPr="003314FE">
        <w:rPr>
          <w:b/>
          <w:i/>
          <w:spacing w:val="-4"/>
          <w:shd w:val="clear" w:color="auto" w:fill="FFFFFF"/>
          <w:lang w:val="af-ZA"/>
        </w:rPr>
        <w:t xml:space="preserve">Thứ nhất, </w:t>
      </w:r>
      <w:r w:rsidRPr="003314FE">
        <w:rPr>
          <w:b/>
          <w:bCs/>
          <w:i/>
          <w:iCs/>
          <w:lang w:val="sv-SE"/>
        </w:rPr>
        <w:t xml:space="preserve">một số quyền lợi hợp pháp </w:t>
      </w:r>
      <w:r w:rsidRPr="003314FE">
        <w:rPr>
          <w:b/>
          <w:bCs/>
          <w:i/>
          <w:iCs/>
          <w:lang w:val="af-ZA"/>
        </w:rPr>
        <w:t xml:space="preserve">của người dân </w:t>
      </w:r>
      <w:r w:rsidR="0098399F" w:rsidRPr="003314FE">
        <w:rPr>
          <w:b/>
          <w:bCs/>
          <w:i/>
          <w:iCs/>
          <w:lang w:val="af-ZA"/>
        </w:rPr>
        <w:t xml:space="preserve">đã </w:t>
      </w:r>
      <w:r w:rsidRPr="003314FE">
        <w:rPr>
          <w:b/>
          <w:bCs/>
          <w:i/>
          <w:iCs/>
          <w:lang w:val="af-ZA"/>
        </w:rPr>
        <w:t>được quy định nhưng việc tổ chức triển khai chưa hiệu quả nên người dân chưa được thụ hưởng</w:t>
      </w:r>
    </w:p>
    <w:p w14:paraId="7BDB5866" w14:textId="1D9AFF18" w:rsidR="00DE659F" w:rsidRPr="003314FE" w:rsidRDefault="00DE659F" w:rsidP="00DE659F">
      <w:pPr>
        <w:tabs>
          <w:tab w:val="left" w:pos="3024"/>
        </w:tabs>
        <w:spacing w:before="120" w:after="120" w:line="240" w:lineRule="auto"/>
        <w:ind w:firstLine="562"/>
        <w:jc w:val="both"/>
      </w:pPr>
      <w:r w:rsidRPr="003314FE">
        <w:t>(1) Cử tri tỉnh Nghệ An phản ánh, Tổng công ty Bảo hiểm Petrolimex đã dừng bán bảo hiểm tàu cá cho các chủ tàu. Cử tri kiến nghị Bộ Tài chính chỉ đạo để ngư dân tiếp tục được mua bảo hiểm tàu cá theo chính sách ưu đãi được quy định tại Nghị định số 67 về một số chính sách phát triển thủy sản</w:t>
      </w:r>
      <w:r w:rsidR="006803BE" w:rsidRPr="003314FE">
        <w:rPr>
          <w:rStyle w:val="EndnoteReference"/>
        </w:rPr>
        <w:endnoteReference w:id="3"/>
      </w:r>
      <w:r w:rsidR="006F580A" w:rsidRPr="003314FE">
        <w:t>.</w:t>
      </w:r>
    </w:p>
    <w:p w14:paraId="1B204B97" w14:textId="77777777" w:rsidR="00C96728" w:rsidRPr="003314FE" w:rsidRDefault="00DE659F" w:rsidP="00C96728">
      <w:pPr>
        <w:tabs>
          <w:tab w:val="left" w:pos="3024"/>
        </w:tabs>
        <w:spacing w:before="120" w:after="120" w:line="340" w:lineRule="exact"/>
        <w:ind w:firstLine="562"/>
        <w:jc w:val="both"/>
      </w:pPr>
      <w:bookmarkStart w:id="2" w:name="_Hlk102552309"/>
      <w:r w:rsidRPr="003314FE">
        <w:t xml:space="preserve">Qua giám sát cho thấy, </w:t>
      </w:r>
      <w:r w:rsidR="004F109D" w:rsidRPr="003314FE">
        <w:t xml:space="preserve">chỉ </w:t>
      </w:r>
      <w:r w:rsidR="00825623" w:rsidRPr="003314FE">
        <w:t xml:space="preserve">có 04 doanh nghiệp </w:t>
      </w:r>
      <w:r w:rsidR="00510F70" w:rsidRPr="003314FE">
        <w:t>bảo hiểm triển khai chính sách bảo hiểm theo Nghị định số 67</w:t>
      </w:r>
      <w:r w:rsidR="00893904" w:rsidRPr="003314FE">
        <w:t>, gồm</w:t>
      </w:r>
      <w:r w:rsidR="0096471F" w:rsidRPr="003314FE">
        <w:t xml:space="preserve">: </w:t>
      </w:r>
      <w:r w:rsidR="00893904" w:rsidRPr="003314FE">
        <w:rPr>
          <w:rFonts w:cs="Times New Roman"/>
          <w:szCs w:val="28"/>
        </w:rPr>
        <w:t>Tổng Công ty Bảo hiểm Bảo Việt, Tổng Công ty Cổ phần Bảo Minh, Tổng công ty bảo hiểm Petrolimex, Tổng Công ty bảo hiểm PVI</w:t>
      </w:r>
      <w:r w:rsidR="00825623" w:rsidRPr="003314FE">
        <w:t xml:space="preserve">. Từ tháng 3 năm 2020, 04 doanh nghiệp </w:t>
      </w:r>
      <w:r w:rsidR="00237AF0" w:rsidRPr="003314FE">
        <w:t xml:space="preserve">trên </w:t>
      </w:r>
      <w:r w:rsidR="00510F70" w:rsidRPr="003314FE">
        <w:t>đã có văn bản đề xuất</w:t>
      </w:r>
      <w:r w:rsidR="00825623" w:rsidRPr="003314FE">
        <w:rPr>
          <w:rStyle w:val="EndnoteReference"/>
        </w:rPr>
        <w:endnoteReference w:id="4"/>
      </w:r>
      <w:r w:rsidR="00510F70" w:rsidRPr="003314FE">
        <w:t xml:space="preserve"> Bộ Tài chính sửa đổi, bổ sung Quy tắc, điều khoản, biểu phí bảo hiểm theo Nghị định số 67</w:t>
      </w:r>
      <w:r w:rsidR="00825623" w:rsidRPr="003314FE">
        <w:t xml:space="preserve"> và đến tháng 4/2020, c</w:t>
      </w:r>
      <w:r w:rsidR="00893904" w:rsidRPr="003314FE">
        <w:t>ác doanh nghiệp này đã</w:t>
      </w:r>
      <w:r w:rsidR="00510F70" w:rsidRPr="003314FE">
        <w:t xml:space="preserve"> thông báo sẽ tạm dừng nhận bảo hiểm cho đến khi nhận được chấp thuận của Bộ Tài chính về các đề xuất nêu trên</w:t>
      </w:r>
      <w:r w:rsidR="00893904" w:rsidRPr="003314FE">
        <w:rPr>
          <w:rStyle w:val="EndnoteReference"/>
        </w:rPr>
        <w:endnoteReference w:id="5"/>
      </w:r>
      <w:r w:rsidR="00510F70" w:rsidRPr="003314FE">
        <w:t xml:space="preserve">. </w:t>
      </w:r>
      <w:r w:rsidR="00C96728" w:rsidRPr="003314FE">
        <w:t>Mặc dù Bộ Tài chính nêu đã thực hiện nhiều giải pháp</w:t>
      </w:r>
      <w:r w:rsidR="00C96728" w:rsidRPr="003314FE">
        <w:rPr>
          <w:rStyle w:val="EndnoteReference"/>
        </w:rPr>
        <w:endnoteReference w:id="6"/>
      </w:r>
      <w:r w:rsidR="00C96728" w:rsidRPr="003314FE">
        <w:t xml:space="preserve"> nhưng đến nay người dân vẫn chưa được mua bảo hiểm tàu cá. </w:t>
      </w:r>
      <w:bookmarkEnd w:id="2"/>
      <w:r w:rsidR="00C96728" w:rsidRPr="003314FE">
        <w:rPr>
          <w:b/>
        </w:rPr>
        <w:t xml:space="preserve">Kiến nghị Chính phủ </w:t>
      </w:r>
      <w:r w:rsidR="00C96728" w:rsidRPr="003314FE">
        <w:t>chỉ đạo Bộ Tài chính khẩn trương phối hợp với các cơ quan liên quan xem xét, giải quyết kiến nghị của cử tri, bảo đảm quyền lợi cho người dân được thụ hưởng chính sách ưu đãi về bảo hiểm tàu cá theo quy định tại Nghị định số 67.</w:t>
      </w:r>
    </w:p>
    <w:p w14:paraId="70726BF9" w14:textId="1AEBDDE5" w:rsidR="00DE659F" w:rsidRPr="003314FE" w:rsidRDefault="00DE659F" w:rsidP="00DE659F">
      <w:pPr>
        <w:pStyle w:val="ListParagraph"/>
        <w:tabs>
          <w:tab w:val="left" w:pos="3024"/>
        </w:tabs>
        <w:spacing w:before="120" w:after="120" w:line="240" w:lineRule="auto"/>
        <w:ind w:left="0" w:firstLine="567"/>
        <w:jc w:val="both"/>
      </w:pPr>
      <w:r w:rsidRPr="003314FE">
        <w:t xml:space="preserve"> (2) Cử tri tỉnh Ninh Thuận kiến nghị </w:t>
      </w:r>
      <w:r w:rsidRPr="003314FE">
        <w:rPr>
          <w:bCs/>
          <w:iCs/>
          <w:lang w:val="vi-VN"/>
        </w:rPr>
        <w:t xml:space="preserve">sớm cấp Ra-đi-ô cho các đối tượng được thụ hưởng theo Quyết định số 1860 phê duyệt Đề án </w:t>
      </w:r>
      <w:r w:rsidR="00237AF0" w:rsidRPr="003314FE">
        <w:rPr>
          <w:bCs/>
          <w:iCs/>
        </w:rPr>
        <w:t>“</w:t>
      </w:r>
      <w:r w:rsidRPr="003314FE">
        <w:rPr>
          <w:bCs/>
          <w:iCs/>
          <w:lang w:val="vi-VN"/>
        </w:rPr>
        <w:t>Thí điểm cấp Ra-đi-ô cho vùng dân tộc thiểu số và miền núi, vùng đặc biệt khó khăn, biên giới</w:t>
      </w:r>
      <w:r w:rsidR="00237AF0" w:rsidRPr="003314FE">
        <w:rPr>
          <w:bCs/>
          <w:iCs/>
        </w:rPr>
        <w:t>”.</w:t>
      </w:r>
      <w:r w:rsidRPr="003314FE">
        <w:rPr>
          <w:bCs/>
          <w:iCs/>
        </w:rPr>
        <w:t xml:space="preserve"> </w:t>
      </w:r>
    </w:p>
    <w:p w14:paraId="1029966A" w14:textId="18B8C759" w:rsidR="003E0E5D" w:rsidRPr="003314FE" w:rsidRDefault="00DE659F" w:rsidP="003E0E5D">
      <w:pPr>
        <w:pStyle w:val="NormalWeb"/>
        <w:shd w:val="clear" w:color="auto" w:fill="FFFFFF"/>
        <w:spacing w:before="120" w:beforeAutospacing="0" w:after="120" w:afterAutospacing="0"/>
        <w:ind w:firstLine="567"/>
        <w:jc w:val="both"/>
        <w:rPr>
          <w:bCs/>
          <w:iCs/>
          <w:sz w:val="28"/>
          <w:szCs w:val="28"/>
        </w:rPr>
      </w:pPr>
      <w:r w:rsidRPr="003314FE">
        <w:rPr>
          <w:bCs/>
          <w:iCs/>
          <w:sz w:val="28"/>
          <w:szCs w:val="28"/>
        </w:rPr>
        <w:t xml:space="preserve">Qua giám sát cho thấy, </w:t>
      </w:r>
      <w:r w:rsidR="003E0E5D" w:rsidRPr="003314FE">
        <w:rPr>
          <w:bCs/>
          <w:iCs/>
          <w:sz w:val="28"/>
          <w:szCs w:val="28"/>
        </w:rPr>
        <w:t xml:space="preserve">Quyết định </w:t>
      </w:r>
      <w:r w:rsidR="0055331D" w:rsidRPr="003314FE">
        <w:rPr>
          <w:bCs/>
          <w:iCs/>
          <w:sz w:val="28"/>
          <w:szCs w:val="28"/>
        </w:rPr>
        <w:t xml:space="preserve">số </w:t>
      </w:r>
      <w:r w:rsidR="003E0E5D" w:rsidRPr="003314FE">
        <w:rPr>
          <w:bCs/>
          <w:iCs/>
          <w:sz w:val="28"/>
          <w:szCs w:val="28"/>
        </w:rPr>
        <w:t>1860</w:t>
      </w:r>
      <w:r w:rsidRPr="003314FE">
        <w:rPr>
          <w:bCs/>
          <w:iCs/>
          <w:sz w:val="28"/>
          <w:szCs w:val="28"/>
        </w:rPr>
        <w:t xml:space="preserve"> được </w:t>
      </w:r>
      <w:r w:rsidRPr="003314FE">
        <w:rPr>
          <w:sz w:val="28"/>
          <w:szCs w:val="28"/>
          <w:shd w:val="clear" w:color="auto" w:fill="FFFFFF"/>
          <w:lang w:val="vi-VN"/>
        </w:rPr>
        <w:t>triển khai thí điểm ở 10 tỉnh</w:t>
      </w:r>
      <w:r w:rsidR="00C07DAA" w:rsidRPr="003314FE">
        <w:rPr>
          <w:rStyle w:val="EndnoteReference"/>
          <w:sz w:val="28"/>
          <w:szCs w:val="28"/>
          <w:shd w:val="clear" w:color="auto" w:fill="FFFFFF"/>
          <w:lang w:val="vi-VN"/>
        </w:rPr>
        <w:endnoteReference w:id="7"/>
      </w:r>
      <w:r w:rsidRPr="003314FE">
        <w:rPr>
          <w:sz w:val="28"/>
          <w:szCs w:val="28"/>
          <w:shd w:val="clear" w:color="auto" w:fill="FFFFFF"/>
          <w:lang w:val="vi-VN"/>
        </w:rPr>
        <w:t xml:space="preserve"> thuộc 4 khu vực Tây Bắc, Tây Nguyên, Tây Nam Bộ và duyên hải miền Trung</w:t>
      </w:r>
      <w:r w:rsidRPr="003314FE">
        <w:rPr>
          <w:sz w:val="28"/>
          <w:szCs w:val="28"/>
          <w:shd w:val="clear" w:color="auto" w:fill="FFFFFF"/>
        </w:rPr>
        <w:t xml:space="preserve">, </w:t>
      </w:r>
      <w:r w:rsidRPr="003314FE">
        <w:rPr>
          <w:bCs/>
          <w:iCs/>
          <w:sz w:val="28"/>
          <w:szCs w:val="28"/>
        </w:rPr>
        <w:t>cấp Ra-đi-ô cho Già làng, trưởng thôn, bản, người có uy tín, bí thư chi bộ</w:t>
      </w:r>
      <w:r w:rsidRPr="003314FE">
        <w:rPr>
          <w:rStyle w:val="EndnoteReference"/>
          <w:bCs/>
          <w:iCs/>
          <w:sz w:val="28"/>
          <w:szCs w:val="28"/>
        </w:rPr>
        <w:endnoteReference w:id="8"/>
      </w:r>
      <w:r w:rsidRPr="003314FE">
        <w:rPr>
          <w:bCs/>
          <w:iCs/>
          <w:sz w:val="28"/>
          <w:szCs w:val="28"/>
        </w:rPr>
        <w:t xml:space="preserve">… </w:t>
      </w:r>
      <w:r w:rsidRPr="003314FE">
        <w:rPr>
          <w:sz w:val="28"/>
          <w:szCs w:val="28"/>
          <w:lang w:val="vi-VN"/>
        </w:rPr>
        <w:t>ở các thôn đặc biệt khó khăn thuộc các xã khu vực III, xã biên giới</w:t>
      </w:r>
      <w:r w:rsidR="003E0E5D" w:rsidRPr="003314FE">
        <w:rPr>
          <w:sz w:val="28"/>
          <w:szCs w:val="28"/>
        </w:rPr>
        <w:t>.</w:t>
      </w:r>
      <w:r w:rsidRPr="003314FE">
        <w:rPr>
          <w:sz w:val="28"/>
          <w:szCs w:val="28"/>
          <w:lang w:val="vi-VN"/>
        </w:rPr>
        <w:t xml:space="preserve"> </w:t>
      </w:r>
      <w:r w:rsidR="0055331D" w:rsidRPr="003314FE">
        <w:rPr>
          <w:sz w:val="28"/>
          <w:szCs w:val="28"/>
        </w:rPr>
        <w:t>Thời gian thực hiện từ năm 2017- 2021. T</w:t>
      </w:r>
      <w:r w:rsidR="0055331D" w:rsidRPr="003314FE">
        <w:rPr>
          <w:bCs/>
          <w:iCs/>
          <w:sz w:val="28"/>
          <w:szCs w:val="28"/>
        </w:rPr>
        <w:t>ừ ngày 05/10/2018, Thủ tướng Chính phủ đã ban hành Quyết định 1313 giao 66.450 triệu đồng (</w:t>
      </w:r>
      <w:r w:rsidR="00C07DAA" w:rsidRPr="003314FE">
        <w:rPr>
          <w:bCs/>
          <w:iCs/>
          <w:sz w:val="28"/>
          <w:szCs w:val="28"/>
        </w:rPr>
        <w:t>S</w:t>
      </w:r>
      <w:r w:rsidR="0055331D" w:rsidRPr="003314FE">
        <w:rPr>
          <w:bCs/>
          <w:iCs/>
          <w:sz w:val="28"/>
          <w:szCs w:val="28"/>
        </w:rPr>
        <w:t>áu mươi sáu tỷ, bốn trăm năm mươi triệu đồng) cho Ủy ban Dân tộc để thực hiện Đề án.</w:t>
      </w:r>
      <w:r w:rsidR="0055331D" w:rsidRPr="003314FE">
        <w:rPr>
          <w:sz w:val="28"/>
          <w:szCs w:val="28"/>
        </w:rPr>
        <w:t xml:space="preserve"> </w:t>
      </w:r>
      <w:r w:rsidR="00C10E37" w:rsidRPr="003314FE">
        <w:rPr>
          <w:sz w:val="28"/>
          <w:szCs w:val="28"/>
        </w:rPr>
        <w:t>M</w:t>
      </w:r>
      <w:r w:rsidR="006F580A" w:rsidRPr="003314FE">
        <w:rPr>
          <w:sz w:val="28"/>
          <w:szCs w:val="28"/>
          <w:shd w:val="clear" w:color="auto" w:fill="FFFFFF"/>
        </w:rPr>
        <w:t>ặc dù đã được cấp kinh phí thực hiện</w:t>
      </w:r>
      <w:r w:rsidR="003E0E5D" w:rsidRPr="003314FE">
        <w:rPr>
          <w:sz w:val="28"/>
          <w:szCs w:val="28"/>
          <w:shd w:val="clear" w:color="auto" w:fill="FFFFFF"/>
        </w:rPr>
        <w:t xml:space="preserve"> </w:t>
      </w:r>
      <w:r w:rsidR="006F580A" w:rsidRPr="003314FE">
        <w:rPr>
          <w:sz w:val="28"/>
          <w:szCs w:val="28"/>
          <w:shd w:val="clear" w:color="auto" w:fill="FFFFFF"/>
        </w:rPr>
        <w:t xml:space="preserve">nhưng </w:t>
      </w:r>
      <w:r w:rsidRPr="003314FE">
        <w:rPr>
          <w:bCs/>
          <w:iCs/>
          <w:sz w:val="28"/>
          <w:szCs w:val="28"/>
        </w:rPr>
        <w:t>Ủy ban Dân tộc chưa triển khai được Đề án, nên kinh phí không sử dụng đã bị hủy dự toán</w:t>
      </w:r>
      <w:r w:rsidRPr="003314FE">
        <w:rPr>
          <w:rStyle w:val="EndnoteReference"/>
          <w:bCs/>
          <w:iCs/>
          <w:sz w:val="28"/>
          <w:szCs w:val="28"/>
        </w:rPr>
        <w:endnoteReference w:id="9"/>
      </w:r>
      <w:r w:rsidRPr="003314FE">
        <w:rPr>
          <w:bCs/>
          <w:iCs/>
          <w:sz w:val="28"/>
          <w:szCs w:val="28"/>
        </w:rPr>
        <w:t>. Như vậy, các đối tượng thụ hưởng vẫn chưa được cấp Ra-đi-ô</w:t>
      </w:r>
      <w:r w:rsidR="003E0E5D" w:rsidRPr="003314FE">
        <w:rPr>
          <w:bCs/>
          <w:iCs/>
          <w:sz w:val="28"/>
          <w:szCs w:val="28"/>
        </w:rPr>
        <w:t xml:space="preserve"> trong khi</w:t>
      </w:r>
      <w:r w:rsidR="0055331D" w:rsidRPr="003314FE">
        <w:rPr>
          <w:bCs/>
          <w:iCs/>
          <w:sz w:val="28"/>
          <w:szCs w:val="28"/>
        </w:rPr>
        <w:t xml:space="preserve"> đã hết</w:t>
      </w:r>
      <w:r w:rsidR="003E0E5D" w:rsidRPr="003314FE">
        <w:rPr>
          <w:bCs/>
          <w:iCs/>
          <w:sz w:val="28"/>
          <w:szCs w:val="28"/>
        </w:rPr>
        <w:t xml:space="preserve"> thời gian thực hiện </w:t>
      </w:r>
      <w:r w:rsidR="004D70FA" w:rsidRPr="003314FE">
        <w:rPr>
          <w:bCs/>
          <w:iCs/>
          <w:sz w:val="28"/>
          <w:szCs w:val="28"/>
        </w:rPr>
        <w:t>chính sách</w:t>
      </w:r>
      <w:r w:rsidR="003E0E5D" w:rsidRPr="003314FE">
        <w:rPr>
          <w:sz w:val="28"/>
          <w:szCs w:val="28"/>
        </w:rPr>
        <w:t>.</w:t>
      </w:r>
      <w:r w:rsidR="003E0E5D" w:rsidRPr="003314FE">
        <w:rPr>
          <w:bCs/>
          <w:iCs/>
          <w:sz w:val="28"/>
          <w:szCs w:val="28"/>
        </w:rPr>
        <w:t xml:space="preserve"> </w:t>
      </w:r>
      <w:r w:rsidR="003E0E5D" w:rsidRPr="003314FE">
        <w:rPr>
          <w:b/>
          <w:bCs/>
          <w:iCs/>
          <w:sz w:val="28"/>
          <w:szCs w:val="28"/>
        </w:rPr>
        <w:t xml:space="preserve">Kiến nghị Chính phủ </w:t>
      </w:r>
      <w:r w:rsidR="003E0E5D" w:rsidRPr="003314FE">
        <w:rPr>
          <w:bCs/>
          <w:iCs/>
          <w:sz w:val="28"/>
          <w:szCs w:val="28"/>
        </w:rPr>
        <w:t>chỉ đạo Ủy ban Dân tộc phối hợp với các cơ quan liên quan tổng kết</w:t>
      </w:r>
      <w:r w:rsidR="00CA3C63" w:rsidRPr="003314FE">
        <w:rPr>
          <w:bCs/>
          <w:iCs/>
          <w:sz w:val="28"/>
          <w:szCs w:val="28"/>
        </w:rPr>
        <w:t>, đánh giá việc</w:t>
      </w:r>
      <w:r w:rsidR="003E0E5D" w:rsidRPr="003314FE">
        <w:rPr>
          <w:bCs/>
          <w:iCs/>
          <w:sz w:val="28"/>
          <w:szCs w:val="28"/>
        </w:rPr>
        <w:t xml:space="preserve"> thực hiện Quyết định số 1860, làm rõ nguyên nhân và trách nhiệm trong việc chưa triển khai thực hiện </w:t>
      </w:r>
      <w:r w:rsidR="00313F70" w:rsidRPr="003314FE">
        <w:rPr>
          <w:bCs/>
          <w:iCs/>
          <w:sz w:val="28"/>
          <w:szCs w:val="28"/>
        </w:rPr>
        <w:t xml:space="preserve">hiệu quả </w:t>
      </w:r>
      <w:r w:rsidR="00237AF0" w:rsidRPr="003314FE">
        <w:rPr>
          <w:bCs/>
          <w:iCs/>
          <w:sz w:val="28"/>
          <w:szCs w:val="28"/>
        </w:rPr>
        <w:t>Q</w:t>
      </w:r>
      <w:r w:rsidR="003E0E5D" w:rsidRPr="003314FE">
        <w:rPr>
          <w:bCs/>
          <w:iCs/>
          <w:sz w:val="28"/>
          <w:szCs w:val="28"/>
        </w:rPr>
        <w:t>uyết định</w:t>
      </w:r>
      <w:r w:rsidR="00237AF0" w:rsidRPr="003314FE">
        <w:rPr>
          <w:bCs/>
          <w:iCs/>
          <w:sz w:val="28"/>
          <w:szCs w:val="28"/>
        </w:rPr>
        <w:t xml:space="preserve"> trên</w:t>
      </w:r>
      <w:r w:rsidR="003E0E5D" w:rsidRPr="003314FE">
        <w:rPr>
          <w:bCs/>
          <w:iCs/>
          <w:sz w:val="28"/>
          <w:szCs w:val="28"/>
        </w:rPr>
        <w:t>; có giải pháp khắc phục để các đối tượng thụ hưởng được cấp Ra-đi-ô.</w:t>
      </w:r>
    </w:p>
    <w:p w14:paraId="63232F7B" w14:textId="45FC7D6A" w:rsidR="00DE659F" w:rsidRPr="003314FE" w:rsidRDefault="00DE659F" w:rsidP="00DE659F">
      <w:pPr>
        <w:spacing w:before="120" w:after="120" w:line="240" w:lineRule="auto"/>
        <w:ind w:firstLine="567"/>
        <w:jc w:val="both"/>
        <w:rPr>
          <w:b/>
          <w:i/>
        </w:rPr>
      </w:pPr>
      <w:bookmarkStart w:id="3" w:name="_Hlk103323945"/>
      <w:r w:rsidRPr="003314FE">
        <w:rPr>
          <w:b/>
          <w:i/>
        </w:rPr>
        <w:t>Thứ hai, một số KNCT chưa được giải quyết do một số Bộ, ngành chưa kịp thời ban hành văn bản hướng dẫn</w:t>
      </w:r>
      <w:bookmarkStart w:id="4" w:name="_Hlk103323990"/>
      <w:r w:rsidR="004A06A3" w:rsidRPr="003314FE">
        <w:rPr>
          <w:b/>
          <w:i/>
        </w:rPr>
        <w:t xml:space="preserve">, </w:t>
      </w:r>
      <w:r w:rsidR="001D6F4D" w:rsidRPr="003314FE">
        <w:rPr>
          <w:b/>
          <w:i/>
        </w:rPr>
        <w:t>không thống nhất về quan điểm khi</w:t>
      </w:r>
      <w:r w:rsidR="004A06A3" w:rsidRPr="003314FE">
        <w:rPr>
          <w:b/>
          <w:i/>
        </w:rPr>
        <w:t xml:space="preserve"> nghiên cứu giải quyết</w:t>
      </w:r>
    </w:p>
    <w:bookmarkEnd w:id="4"/>
    <w:p w14:paraId="57E16171" w14:textId="425740D4" w:rsidR="00DE659F" w:rsidRPr="003314FE" w:rsidRDefault="00DE659F" w:rsidP="00DE659F">
      <w:pPr>
        <w:spacing w:before="120" w:after="120" w:line="240" w:lineRule="auto"/>
        <w:ind w:firstLine="567"/>
        <w:jc w:val="both"/>
      </w:pPr>
      <w:r w:rsidRPr="003314FE">
        <w:t>(1) Cử tri tỉnh Lạng Sơn đề nghị Bộ Công thương sớm ban hành Thông tư mới thay thế Thông tư số 28</w:t>
      </w:r>
      <w:r w:rsidR="003E0E5D" w:rsidRPr="003314FE">
        <w:t xml:space="preserve"> </w:t>
      </w:r>
      <w:r w:rsidRPr="003314FE">
        <w:t>để phù hợp với tình hình thực tế hiện nay và các văn bản QPPL hiện hành.</w:t>
      </w:r>
    </w:p>
    <w:p w14:paraId="5A6F95DE" w14:textId="0CB14353" w:rsidR="00C141D5" w:rsidRPr="003314FE" w:rsidRDefault="00C141D5" w:rsidP="00C141D5">
      <w:pPr>
        <w:spacing w:before="120" w:after="120" w:line="340" w:lineRule="exact"/>
        <w:ind w:firstLine="567"/>
        <w:jc w:val="both"/>
      </w:pPr>
      <w:bookmarkStart w:id="5" w:name="_Hlk102654798"/>
      <w:r w:rsidRPr="003314FE">
        <w:t xml:space="preserve">Khi nghiên cứu để giải quyết KNCT, quan điểm của Bộ Công thương chưa </w:t>
      </w:r>
      <w:bookmarkEnd w:id="5"/>
      <w:r w:rsidR="00B64125" w:rsidRPr="003314FE">
        <w:t>thống nhất</w:t>
      </w:r>
      <w:r w:rsidRPr="003314FE">
        <w:t>: trong văn bản trả lời cử tri tỉnh Lạng Sơn</w:t>
      </w:r>
      <w:r w:rsidRPr="003314FE">
        <w:rPr>
          <w:rStyle w:val="EndnoteReference"/>
        </w:rPr>
        <w:endnoteReference w:id="10"/>
      </w:r>
      <w:r w:rsidRPr="003314FE">
        <w:t>, Bộ Công thương thừa nhận “việc ban hành Thông tư mới thay thế Thông tư số 28 là cần thiết… xin tiếp thu ý kiến của cử tri và sẽ thực hiện thủ tục công bố văn bản QPPL hết hiệu lực thi hành đối với Thông tư số 28, đồng thời nghiên cứu xây dựng văn bản mới quy định về kinh doanh xăng dầu khu vực biên giới phù hợp với tình hình thực tế hiện nay”. Tuy nhiên, khi giải trình với UBTVQH</w:t>
      </w:r>
      <w:r w:rsidRPr="003314FE">
        <w:rPr>
          <w:rStyle w:val="EndnoteReference"/>
        </w:rPr>
        <w:endnoteReference w:id="11"/>
      </w:r>
      <w:r w:rsidRPr="003314FE">
        <w:t xml:space="preserve">, Bộ Công thương lại cho rằng hoạt động kinh doanh xăng dầu tại các cửa hàng xăng dầu khu vực biên giới hiện nay đã được quy định cụ thể trong các văn bản QPPL, do đó, Bộ Công thương không đề xuất xây dựng thông tư thay thế Thông tư số 28. </w:t>
      </w:r>
      <w:bookmarkStart w:id="6" w:name="_Hlk103324096"/>
      <w:r w:rsidR="001D6F4D" w:rsidRPr="003314FE">
        <w:t xml:space="preserve">Như vậy, nội dung trả lời cử tri tỉnh Lạng Sơn và nội dung báo cáo UBTVQH là không thống nhất. </w:t>
      </w:r>
      <w:r w:rsidRPr="003314FE">
        <w:rPr>
          <w:b/>
          <w:bCs/>
          <w:iCs/>
          <w:lang w:val="en-GB"/>
        </w:rPr>
        <w:t>Kiến nghị Bộ Công thương</w:t>
      </w:r>
      <w:r w:rsidRPr="003314FE">
        <w:rPr>
          <w:bCs/>
          <w:iCs/>
          <w:lang w:val="en-GB"/>
        </w:rPr>
        <w:t xml:space="preserve"> khẩn trương thực hiện thủ tục công bố văn bản QPPL hết hiệu lực thi hành đối với Thông tư số 28 theo đúng quy định của Luật Ban hành văn bản QPPL</w:t>
      </w:r>
      <w:r w:rsidRPr="003314FE">
        <w:rPr>
          <w:rStyle w:val="EndnoteReference"/>
          <w:bCs/>
          <w:iCs/>
          <w:lang w:val="en-GB"/>
        </w:rPr>
        <w:endnoteReference w:id="12"/>
      </w:r>
      <w:r w:rsidRPr="003314FE">
        <w:rPr>
          <w:bCs/>
          <w:iCs/>
          <w:lang w:val="en-GB"/>
        </w:rPr>
        <w:t xml:space="preserve"> và cần nghiên cứu kỹ lưỡng vấn đề cử tri kiến nghị trước khi ban hành văn bản trả lời cử tri</w:t>
      </w:r>
      <w:r w:rsidR="004A06A3" w:rsidRPr="003314FE">
        <w:rPr>
          <w:bCs/>
          <w:iCs/>
          <w:lang w:val="en-GB"/>
        </w:rPr>
        <w:t>, tránh việc không thống nhất khi</w:t>
      </w:r>
      <w:r w:rsidR="001D6F4D" w:rsidRPr="003314FE">
        <w:rPr>
          <w:bCs/>
          <w:iCs/>
          <w:lang w:val="en-GB"/>
        </w:rPr>
        <w:t xml:space="preserve"> giải quyết, trả lời.</w:t>
      </w:r>
      <w:r w:rsidR="004A06A3" w:rsidRPr="003314FE">
        <w:rPr>
          <w:bCs/>
          <w:iCs/>
          <w:lang w:val="en-GB"/>
        </w:rPr>
        <w:t xml:space="preserve"> </w:t>
      </w:r>
    </w:p>
    <w:bookmarkEnd w:id="3"/>
    <w:bookmarkEnd w:id="6"/>
    <w:p w14:paraId="4AD6BDAB" w14:textId="77777777" w:rsidR="00DE659F" w:rsidRPr="003314FE" w:rsidRDefault="00DE659F" w:rsidP="00DE659F">
      <w:pPr>
        <w:pStyle w:val="NormalWeb"/>
        <w:spacing w:before="120" w:beforeAutospacing="0" w:after="120" w:afterAutospacing="0"/>
        <w:ind w:firstLine="567"/>
        <w:jc w:val="both"/>
        <w:rPr>
          <w:sz w:val="28"/>
          <w:szCs w:val="28"/>
        </w:rPr>
      </w:pPr>
      <w:r w:rsidRPr="003314FE">
        <w:rPr>
          <w:sz w:val="28"/>
          <w:szCs w:val="28"/>
        </w:rPr>
        <w:t xml:space="preserve"> (2) Cử tri tỉnh Hà Tĩnh, Ninh Thuận kiến nghị các bộ, cơ quan ngang bộ ban hành các thông tư hướng dẫn về chức năng, nhiệm vụ, quyền hạn của các cơ quan chuyên môn cấp tỉnh, cấp huyện.</w:t>
      </w:r>
    </w:p>
    <w:p w14:paraId="2B372489" w14:textId="2B112024" w:rsidR="00DE659F" w:rsidRPr="003314FE" w:rsidRDefault="00DE659F" w:rsidP="00DE659F">
      <w:pPr>
        <w:pStyle w:val="NormalWeb"/>
        <w:spacing w:before="120" w:beforeAutospacing="0" w:after="120" w:afterAutospacing="0"/>
        <w:ind w:firstLine="567"/>
        <w:jc w:val="both"/>
        <w:rPr>
          <w:sz w:val="28"/>
          <w:szCs w:val="28"/>
        </w:rPr>
      </w:pPr>
      <w:r w:rsidRPr="003314FE">
        <w:rPr>
          <w:sz w:val="28"/>
          <w:szCs w:val="28"/>
        </w:rPr>
        <w:t>Qua giám sát cho thấy, Nghị định số 107</w:t>
      </w:r>
      <w:r w:rsidR="00CF2C76" w:rsidRPr="003314FE">
        <w:rPr>
          <w:rStyle w:val="EndnoteReference"/>
          <w:sz w:val="28"/>
          <w:szCs w:val="28"/>
        </w:rPr>
        <w:endnoteReference w:id="13"/>
      </w:r>
      <w:r w:rsidR="00CF2C76" w:rsidRPr="003314FE">
        <w:rPr>
          <w:sz w:val="28"/>
          <w:szCs w:val="28"/>
        </w:rPr>
        <w:t xml:space="preserve"> </w:t>
      </w:r>
      <w:r w:rsidRPr="003314FE">
        <w:rPr>
          <w:sz w:val="28"/>
          <w:szCs w:val="28"/>
        </w:rPr>
        <w:t>đã quy định Bộ trưởng, thủ trưởng cơ quan ngang bộ</w:t>
      </w:r>
      <w:r w:rsidR="00CF2C76" w:rsidRPr="003314FE">
        <w:rPr>
          <w:sz w:val="28"/>
          <w:szCs w:val="28"/>
        </w:rPr>
        <w:t xml:space="preserve"> có trách nhiệm</w:t>
      </w:r>
      <w:r w:rsidRPr="003314FE">
        <w:rPr>
          <w:sz w:val="28"/>
          <w:szCs w:val="28"/>
        </w:rPr>
        <w:t xml:space="preserve">: </w:t>
      </w:r>
      <w:r w:rsidRPr="003314FE">
        <w:rPr>
          <w:i/>
          <w:sz w:val="28"/>
          <w:szCs w:val="28"/>
        </w:rPr>
        <w:t>“</w:t>
      </w:r>
      <w:r w:rsidRPr="003314FE">
        <w:rPr>
          <w:i/>
          <w:sz w:val="28"/>
          <w:szCs w:val="28"/>
          <w:shd w:val="clear" w:color="auto" w:fill="FFFFFF"/>
        </w:rPr>
        <w:t>Hướng dẫn thực hiện chức năng, nhiệm vụ, quyền hạn theo ngành, lĩnh vực thuộc phạm vi quản lý đối với cơ quan chuyên môn thuộc UBND cấp tỉnh, cấp huyện và hướng dẫn chức năng, nhiệm vụ, quyền hạn của chi cục thuộc sở”.</w:t>
      </w:r>
      <w:r w:rsidRPr="003314FE">
        <w:rPr>
          <w:sz w:val="28"/>
          <w:szCs w:val="28"/>
        </w:rPr>
        <w:t xml:space="preserve"> Mặc dù Nghị định số 107 được ban hành từ ngày 14/9/2020 </w:t>
      </w:r>
      <w:r w:rsidRPr="003314FE">
        <w:rPr>
          <w:sz w:val="28"/>
          <w:szCs w:val="28"/>
          <w:shd w:val="clear" w:color="auto" w:fill="FFFFFF"/>
        </w:rPr>
        <w:t xml:space="preserve">và </w:t>
      </w:r>
      <w:r w:rsidRPr="003314FE">
        <w:rPr>
          <w:sz w:val="28"/>
          <w:szCs w:val="28"/>
        </w:rPr>
        <w:t xml:space="preserve">Bộ Nội vụ đã nhiều lần có văn bản đôn đốc triển khai thực hiện nhiệm vụ này nhưng đến nay </w:t>
      </w:r>
      <w:r w:rsidR="00CD04D5" w:rsidRPr="003314FE">
        <w:rPr>
          <w:sz w:val="28"/>
          <w:szCs w:val="28"/>
        </w:rPr>
        <w:t>vẫn còn 0</w:t>
      </w:r>
      <w:r w:rsidR="00287D17" w:rsidRPr="003314FE">
        <w:rPr>
          <w:sz w:val="28"/>
          <w:szCs w:val="28"/>
        </w:rPr>
        <w:t>4</w:t>
      </w:r>
      <w:r w:rsidRPr="003314FE">
        <w:rPr>
          <w:sz w:val="28"/>
          <w:szCs w:val="28"/>
        </w:rPr>
        <w:t xml:space="preserve"> Bộ, cơ quan ngang bộ</w:t>
      </w:r>
      <w:r w:rsidR="000B41FB" w:rsidRPr="003314FE">
        <w:rPr>
          <w:sz w:val="28"/>
          <w:szCs w:val="28"/>
        </w:rPr>
        <w:t>,</w:t>
      </w:r>
      <w:r w:rsidR="00CD04D5" w:rsidRPr="003314FE">
        <w:rPr>
          <w:sz w:val="28"/>
          <w:szCs w:val="28"/>
        </w:rPr>
        <w:t xml:space="preserve"> </w:t>
      </w:r>
      <w:r w:rsidRPr="003314FE">
        <w:rPr>
          <w:sz w:val="28"/>
          <w:szCs w:val="28"/>
        </w:rPr>
        <w:t xml:space="preserve">gồm: Bộ NN&amp;PTNT; Bộ Xây dựng, Bộ TT&amp;TT </w:t>
      </w:r>
      <w:r w:rsidR="00F2369B" w:rsidRPr="003314FE">
        <w:rPr>
          <w:sz w:val="28"/>
          <w:szCs w:val="28"/>
        </w:rPr>
        <w:t xml:space="preserve">và </w:t>
      </w:r>
      <w:r w:rsidRPr="003314FE">
        <w:rPr>
          <w:sz w:val="28"/>
          <w:szCs w:val="28"/>
        </w:rPr>
        <w:t xml:space="preserve">Thanh tra Chính phủ </w:t>
      </w:r>
      <w:r w:rsidR="000B41FB" w:rsidRPr="003314FE">
        <w:rPr>
          <w:sz w:val="28"/>
          <w:szCs w:val="28"/>
        </w:rPr>
        <w:t xml:space="preserve">chưa ban hành văn bản hướng dẫn </w:t>
      </w:r>
      <w:r w:rsidRPr="003314FE">
        <w:rPr>
          <w:sz w:val="28"/>
          <w:szCs w:val="28"/>
        </w:rPr>
        <w:t xml:space="preserve">nên các địa phương chưa có cơ sở </w:t>
      </w:r>
      <w:r w:rsidR="00CF2C76" w:rsidRPr="003314FE">
        <w:rPr>
          <w:sz w:val="28"/>
          <w:szCs w:val="28"/>
        </w:rPr>
        <w:t>để q</w:t>
      </w:r>
      <w:r w:rsidR="00CF2C76" w:rsidRPr="003314FE">
        <w:rPr>
          <w:sz w:val="28"/>
          <w:szCs w:val="28"/>
          <w:lang w:val="vi-VN"/>
        </w:rPr>
        <w:t>uy định cụ thể chức năng, nhiệm vụ, quyền hạn của sở</w:t>
      </w:r>
      <w:r w:rsidR="00CF2C76" w:rsidRPr="003314FE">
        <w:rPr>
          <w:sz w:val="28"/>
          <w:szCs w:val="28"/>
        </w:rPr>
        <w:t>, chi cục thuộc sở và</w:t>
      </w:r>
      <w:r w:rsidR="00CF2C76" w:rsidRPr="003314FE">
        <w:rPr>
          <w:sz w:val="28"/>
          <w:szCs w:val="28"/>
          <w:lang w:val="vi-VN"/>
        </w:rPr>
        <w:t xml:space="preserve"> </w:t>
      </w:r>
      <w:r w:rsidRPr="003314FE">
        <w:rPr>
          <w:sz w:val="28"/>
          <w:szCs w:val="28"/>
        </w:rPr>
        <w:t>triển khai sắp xếp tổ chức hành chính thuộc phạm vi quản lý</w:t>
      </w:r>
      <w:r w:rsidRPr="003314FE">
        <w:rPr>
          <w:rStyle w:val="EndnoteReference"/>
          <w:sz w:val="28"/>
          <w:szCs w:val="28"/>
          <w:lang w:val="vi-VN"/>
        </w:rPr>
        <w:endnoteReference w:id="14"/>
      </w:r>
      <w:r w:rsidRPr="003314FE">
        <w:rPr>
          <w:sz w:val="28"/>
          <w:szCs w:val="28"/>
        </w:rPr>
        <w:t xml:space="preserve">. </w:t>
      </w:r>
      <w:r w:rsidRPr="003314FE">
        <w:rPr>
          <w:b/>
          <w:sz w:val="28"/>
          <w:szCs w:val="28"/>
        </w:rPr>
        <w:t>Kiến nghị Chính phủ</w:t>
      </w:r>
      <w:r w:rsidRPr="003314FE">
        <w:rPr>
          <w:sz w:val="28"/>
          <w:szCs w:val="28"/>
        </w:rPr>
        <w:t xml:space="preserve"> chỉ đạo các </w:t>
      </w:r>
      <w:r w:rsidR="000A5CC3" w:rsidRPr="003314FE">
        <w:rPr>
          <w:sz w:val="28"/>
          <w:szCs w:val="28"/>
        </w:rPr>
        <w:t>cơ quan</w:t>
      </w:r>
      <w:r w:rsidRPr="003314FE">
        <w:rPr>
          <w:sz w:val="28"/>
          <w:szCs w:val="28"/>
        </w:rPr>
        <w:t xml:space="preserve"> nêu trên khẩn trương ban hành </w:t>
      </w:r>
      <w:r w:rsidR="001A4906" w:rsidRPr="003314FE">
        <w:rPr>
          <w:sz w:val="28"/>
          <w:szCs w:val="28"/>
        </w:rPr>
        <w:t xml:space="preserve">văn bản </w:t>
      </w:r>
      <w:r w:rsidRPr="003314FE">
        <w:rPr>
          <w:sz w:val="28"/>
          <w:szCs w:val="28"/>
        </w:rPr>
        <w:t>hướng dẫn</w:t>
      </w:r>
      <w:r w:rsidRPr="003314FE">
        <w:rPr>
          <w:sz w:val="28"/>
          <w:szCs w:val="28"/>
          <w:shd w:val="clear" w:color="auto" w:fill="FFFFFF"/>
        </w:rPr>
        <w:t>.</w:t>
      </w:r>
    </w:p>
    <w:p w14:paraId="7F661EF5" w14:textId="339F8CD6" w:rsidR="000C32C4" w:rsidRPr="003314FE" w:rsidRDefault="00DE659F" w:rsidP="00DE659F">
      <w:pPr>
        <w:shd w:val="clear" w:color="auto" w:fill="FFFFFF"/>
        <w:tabs>
          <w:tab w:val="left" w:pos="3024"/>
        </w:tabs>
        <w:spacing w:before="120" w:after="120" w:line="240" w:lineRule="auto"/>
        <w:ind w:firstLine="567"/>
        <w:jc w:val="both"/>
        <w:rPr>
          <w:b/>
          <w:i/>
          <w:lang w:val="af-ZA"/>
        </w:rPr>
      </w:pPr>
      <w:r w:rsidRPr="003314FE">
        <w:rPr>
          <w:b/>
          <w:i/>
        </w:rPr>
        <w:t>Thứ ba,</w:t>
      </w:r>
      <w:r w:rsidRPr="003314FE">
        <w:t xml:space="preserve"> </w:t>
      </w:r>
      <w:bookmarkStart w:id="11" w:name="_Hlk103260606"/>
      <w:r w:rsidR="001C3A6E" w:rsidRPr="003314FE">
        <w:rPr>
          <w:b/>
          <w:i/>
          <w:lang w:val="af-ZA"/>
        </w:rPr>
        <w:t xml:space="preserve">KNCT </w:t>
      </w:r>
      <w:r w:rsidR="000C32C4" w:rsidRPr="003314FE">
        <w:rPr>
          <w:b/>
          <w:i/>
          <w:lang w:val="af-ZA"/>
        </w:rPr>
        <w:t>mặc dù đã được Bộ, ngành chỉ đạo giải quyết nhưng thiếu kiểm tra, đôn đốc nên chưa được giải quyết dứt điểm</w:t>
      </w:r>
    </w:p>
    <w:p w14:paraId="05354F98" w14:textId="0A067F70" w:rsidR="00237AF0" w:rsidRPr="003314FE" w:rsidRDefault="00237AF0" w:rsidP="00DF5376">
      <w:pPr>
        <w:spacing w:before="120" w:after="120" w:line="240" w:lineRule="auto"/>
        <w:ind w:firstLine="567"/>
        <w:jc w:val="both"/>
        <w:rPr>
          <w:lang w:val="af-ZA"/>
        </w:rPr>
      </w:pPr>
      <w:bookmarkStart w:id="12" w:name="_Hlk102635145"/>
      <w:bookmarkEnd w:id="11"/>
      <w:r w:rsidRPr="003314FE">
        <w:rPr>
          <w:lang w:val="af-ZA"/>
        </w:rPr>
        <w:t>Cử tri tỉnh Đắk Nông tiếp tục kiến nghị di dời đường dây điện cao thế 500 KV ra khỏi trung tâm thành phố Gia Nghĩa nhằm đảm bảo an toàn cho người dân cũng như tạo điều kiện để phát triển kinh tế địa phương. Đây là kiến nghị từ kỳ họp thứ 8, Quốc hội khóa XIV nhưng chưa được giải quyết dứt điểm nên tại kỳ họp thứ 2, Quốc hội khóa XV, cử tri tiếp tục kiến nghị.</w:t>
      </w:r>
    </w:p>
    <w:p w14:paraId="01B7B5EC" w14:textId="378D9D81" w:rsidR="00DE659F" w:rsidRPr="003314FE" w:rsidRDefault="000A5CC3" w:rsidP="006502BE">
      <w:pPr>
        <w:spacing w:before="120" w:after="120" w:line="240" w:lineRule="auto"/>
        <w:ind w:firstLine="567"/>
        <w:jc w:val="both"/>
        <w:rPr>
          <w:lang w:val="af-ZA"/>
        </w:rPr>
      </w:pPr>
      <w:r w:rsidRPr="003314FE">
        <w:rPr>
          <w:lang w:val="af-ZA"/>
        </w:rPr>
        <w:t xml:space="preserve">Qua giám sát cho thấy, </w:t>
      </w:r>
      <w:r w:rsidR="00DE659F" w:rsidRPr="003314FE">
        <w:rPr>
          <w:lang w:val="af-ZA"/>
        </w:rPr>
        <w:t>từ năm 2015</w:t>
      </w:r>
      <w:r w:rsidRPr="003314FE">
        <w:rPr>
          <w:lang w:val="af-ZA"/>
        </w:rPr>
        <w:t xml:space="preserve"> Thủ tướng Chính phủ đã giao Bộ Công thương chỉ đạo </w:t>
      </w:r>
      <w:r w:rsidR="00DF5376" w:rsidRPr="003314FE">
        <w:rPr>
          <w:lang w:val="af-ZA"/>
        </w:rPr>
        <w:t>Tập đoàn Điện lực Việt Nam phối hợp với UBND tỉnh Đắk Nông để triển khai thực hiện việc di dời</w:t>
      </w:r>
      <w:bookmarkEnd w:id="12"/>
      <w:r w:rsidR="00DF5376" w:rsidRPr="003314FE">
        <w:rPr>
          <w:rStyle w:val="EndnoteReference"/>
          <w:lang w:val="af-ZA"/>
        </w:rPr>
        <w:endnoteReference w:id="15"/>
      </w:r>
      <w:r w:rsidR="00DF5376" w:rsidRPr="003314FE">
        <w:rPr>
          <w:lang w:val="af-ZA"/>
        </w:rPr>
        <w:t xml:space="preserve"> và Bộ Công thương đã có văn bản giao Tập đoàn Điện lực Việt Nam triển khai thực hiện</w:t>
      </w:r>
      <w:r w:rsidR="006502BE" w:rsidRPr="003314FE">
        <w:rPr>
          <w:lang w:val="af-ZA"/>
        </w:rPr>
        <w:t xml:space="preserve"> </w:t>
      </w:r>
      <w:r w:rsidR="00DE659F" w:rsidRPr="003314FE">
        <w:rPr>
          <w:lang w:val="af-ZA"/>
        </w:rPr>
        <w:t xml:space="preserve">nhưng chưa kiểm tra, đôn đốc sát sao việc thực hiện nên sau hơn 06 năm, kiến nghị này vẫn chưa được giải quyết dứt điểm. </w:t>
      </w:r>
      <w:r w:rsidR="00DE659F" w:rsidRPr="003314FE">
        <w:rPr>
          <w:b/>
          <w:lang w:val="af-ZA"/>
        </w:rPr>
        <w:t>Kiến nghị Chính phủ</w:t>
      </w:r>
      <w:r w:rsidR="00DE659F" w:rsidRPr="003314FE">
        <w:rPr>
          <w:lang w:val="af-ZA"/>
        </w:rPr>
        <w:t xml:space="preserve"> chỉ đạo Bộ Công thương phối hợp với các cơ quan liên quan và UBND tỉnh Đắk Nông thực hiện di dời đường dây </w:t>
      </w:r>
      <w:r w:rsidR="004C33F7" w:rsidRPr="003314FE">
        <w:rPr>
          <w:lang w:val="af-ZA"/>
        </w:rPr>
        <w:t xml:space="preserve">điện </w:t>
      </w:r>
      <w:r w:rsidR="00DE659F" w:rsidRPr="003314FE">
        <w:rPr>
          <w:lang w:val="af-ZA"/>
        </w:rPr>
        <w:t>cao thế 500 KV ra khỏi trung tâm thành phố Gia Nghĩa.</w:t>
      </w:r>
    </w:p>
    <w:p w14:paraId="7FCAD3B5" w14:textId="77777777" w:rsidR="00DE659F" w:rsidRPr="003314FE" w:rsidRDefault="00DE659F" w:rsidP="00DE659F">
      <w:pPr>
        <w:shd w:val="clear" w:color="auto" w:fill="FFFFFF"/>
        <w:spacing w:before="120" w:after="120" w:line="240" w:lineRule="auto"/>
        <w:ind w:firstLine="562"/>
        <w:jc w:val="both"/>
        <w:rPr>
          <w:b/>
          <w:bCs/>
          <w:i/>
          <w:iCs/>
          <w:lang w:val="af-ZA"/>
        </w:rPr>
      </w:pPr>
      <w:r w:rsidRPr="003314FE">
        <w:rPr>
          <w:b/>
          <w:bCs/>
          <w:i/>
          <w:iCs/>
          <w:lang w:val="af-ZA"/>
        </w:rPr>
        <w:t>Thứ tư, một số văn bản Bộ, ngành trả lời cử tri chưa thể hiện rõ trách nhiệm trong việc giải quyết</w:t>
      </w:r>
    </w:p>
    <w:p w14:paraId="2328B0B5" w14:textId="4C8D34D5" w:rsidR="00DE659F" w:rsidRPr="003314FE" w:rsidRDefault="00DE659F" w:rsidP="00DE659F">
      <w:pPr>
        <w:spacing w:before="120" w:after="120" w:line="240" w:lineRule="auto"/>
        <w:ind w:firstLine="720"/>
        <w:jc w:val="both"/>
      </w:pPr>
      <w:r w:rsidRPr="003314FE">
        <w:rPr>
          <w:bCs/>
          <w:iCs/>
          <w:lang w:val="af-ZA"/>
        </w:rPr>
        <w:t xml:space="preserve">(1) Cử tri tỉnh Lào Cai kiến nghị </w:t>
      </w:r>
      <w:r w:rsidRPr="003314FE">
        <w:t>Bộ GD&amp;ĐT sớm ban hành thông tư hướng dẫn thực hiện Nghị định số 81</w:t>
      </w:r>
      <w:r w:rsidR="008C6815" w:rsidRPr="003314FE">
        <w:t xml:space="preserve"> </w:t>
      </w:r>
      <w:r w:rsidRPr="003314FE">
        <w:t>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8C6815" w:rsidRPr="003314FE">
        <w:rPr>
          <w:rStyle w:val="EndnoteReference"/>
        </w:rPr>
        <w:endnoteReference w:id="16"/>
      </w:r>
      <w:r w:rsidRPr="003314FE">
        <w:t>.</w:t>
      </w:r>
    </w:p>
    <w:p w14:paraId="6B0FD429" w14:textId="665C57FF" w:rsidR="00DE659F" w:rsidRPr="003314FE" w:rsidRDefault="00DE659F" w:rsidP="00F66628">
      <w:pPr>
        <w:spacing w:before="120" w:after="120" w:line="240" w:lineRule="auto"/>
        <w:ind w:firstLine="720"/>
        <w:jc w:val="both"/>
      </w:pPr>
      <w:r w:rsidRPr="003314FE">
        <w:rPr>
          <w:bCs/>
          <w:iCs/>
          <w:lang w:val="af-ZA"/>
        </w:rPr>
        <w:t>Trả lời cử tri</w:t>
      </w:r>
      <w:r w:rsidRPr="003314FE">
        <w:rPr>
          <w:rStyle w:val="EndnoteReference"/>
        </w:rPr>
        <w:endnoteReference w:id="17"/>
      </w:r>
      <w:r w:rsidRPr="003314FE">
        <w:rPr>
          <w:bCs/>
          <w:iCs/>
          <w:lang w:val="af-ZA"/>
        </w:rPr>
        <w:t xml:space="preserve">, Bộ GD&amp;ĐT </w:t>
      </w:r>
      <w:r w:rsidR="00DF5376" w:rsidRPr="003314FE">
        <w:rPr>
          <w:bCs/>
          <w:iCs/>
          <w:lang w:val="af-ZA"/>
        </w:rPr>
        <w:t>cho rằng</w:t>
      </w:r>
      <w:r w:rsidRPr="003314FE">
        <w:rPr>
          <w:bCs/>
          <w:iCs/>
          <w:lang w:val="af-ZA"/>
        </w:rPr>
        <w:t xml:space="preserve"> t</w:t>
      </w:r>
      <w:r w:rsidRPr="003314FE">
        <w:t>ại Nghị định số 81 đã quy định cụ thể</w:t>
      </w:r>
      <w:r w:rsidR="00F66628" w:rsidRPr="003314FE">
        <w:t xml:space="preserve">, chi tiết </w:t>
      </w:r>
      <w:bookmarkStart w:id="14" w:name="_Hlk102633238"/>
      <w:r w:rsidR="00F66628" w:rsidRPr="003314FE">
        <w:t>để có thể thực hiện ngay sau khi Nghị định được ban hành</w:t>
      </w:r>
      <w:bookmarkEnd w:id="14"/>
      <w:r w:rsidR="00531C8A" w:rsidRPr="003314FE">
        <w:t xml:space="preserve"> nên không cần ban hành thông tư hướng dẫn</w:t>
      </w:r>
      <w:r w:rsidR="00120758" w:rsidRPr="003314FE">
        <w:t>.</w:t>
      </w:r>
    </w:p>
    <w:p w14:paraId="594B22E0" w14:textId="44221218" w:rsidR="00DE659F" w:rsidRPr="003314FE" w:rsidRDefault="00DE659F" w:rsidP="00DE659F">
      <w:pPr>
        <w:pStyle w:val="NormalWeb"/>
        <w:shd w:val="clear" w:color="auto" w:fill="FFFFFF"/>
        <w:spacing w:before="120" w:beforeAutospacing="0" w:after="120" w:afterAutospacing="0"/>
        <w:ind w:firstLine="567"/>
        <w:jc w:val="both"/>
        <w:rPr>
          <w:sz w:val="28"/>
          <w:szCs w:val="28"/>
        </w:rPr>
      </w:pPr>
      <w:r w:rsidRPr="003314FE">
        <w:rPr>
          <w:sz w:val="28"/>
          <w:szCs w:val="28"/>
        </w:rPr>
        <w:t xml:space="preserve">Qua giám sát cho thấy, </w:t>
      </w:r>
      <w:bookmarkStart w:id="15" w:name="dieu_4"/>
      <w:r w:rsidRPr="003314FE">
        <w:rPr>
          <w:sz w:val="28"/>
          <w:szCs w:val="28"/>
        </w:rPr>
        <w:t>tại Nghị định số 81</w:t>
      </w:r>
      <w:r w:rsidR="00690BC3" w:rsidRPr="003314FE">
        <w:rPr>
          <w:sz w:val="28"/>
          <w:szCs w:val="28"/>
        </w:rPr>
        <w:t>, Chính phủ</w:t>
      </w:r>
      <w:r w:rsidRPr="003314FE">
        <w:rPr>
          <w:sz w:val="28"/>
          <w:szCs w:val="28"/>
        </w:rPr>
        <w:t xml:space="preserve"> đã giao Bộ GD&amp;ĐT theo thẩm quyền phối hợp với các bộ, ngành liên quan hướng dẫn thực hiện Nghị định số 81</w:t>
      </w:r>
      <w:r w:rsidRPr="003314FE">
        <w:rPr>
          <w:rStyle w:val="EndnoteReference"/>
          <w:sz w:val="28"/>
          <w:szCs w:val="28"/>
        </w:rPr>
        <w:endnoteReference w:id="18"/>
      </w:r>
      <w:bookmarkEnd w:id="15"/>
      <w:r w:rsidRPr="003314FE">
        <w:rPr>
          <w:sz w:val="28"/>
          <w:szCs w:val="28"/>
        </w:rPr>
        <w:t xml:space="preserve">. </w:t>
      </w:r>
      <w:r w:rsidRPr="003314FE">
        <w:rPr>
          <w:sz w:val="28"/>
          <w:szCs w:val="28"/>
          <w:lang w:val="en-GB"/>
        </w:rPr>
        <w:t xml:space="preserve">Trả lời của Bộ GD&amp;ĐT </w:t>
      </w:r>
      <w:r w:rsidRPr="003314FE">
        <w:rPr>
          <w:sz w:val="28"/>
          <w:szCs w:val="28"/>
        </w:rPr>
        <w:t>là chưa phù hợp</w:t>
      </w:r>
      <w:r w:rsidR="00DF6F3E" w:rsidRPr="003314FE">
        <w:rPr>
          <w:sz w:val="28"/>
          <w:szCs w:val="28"/>
        </w:rPr>
        <w:t xml:space="preserve"> với quy định nêu trên</w:t>
      </w:r>
      <w:r w:rsidRPr="003314FE">
        <w:rPr>
          <w:sz w:val="28"/>
          <w:szCs w:val="28"/>
        </w:rPr>
        <w:t xml:space="preserve">. </w:t>
      </w:r>
      <w:r w:rsidRPr="003314FE">
        <w:rPr>
          <w:b/>
          <w:sz w:val="28"/>
          <w:szCs w:val="28"/>
        </w:rPr>
        <w:t>Kiến nghị Bộ GD&amp;ĐT</w:t>
      </w:r>
      <w:r w:rsidRPr="003314FE">
        <w:rPr>
          <w:sz w:val="28"/>
          <w:szCs w:val="28"/>
        </w:rPr>
        <w:t xml:space="preserve"> nghiên cứu, ban hành văn bản hướng dẫn tổ chức thực hiện Nghị định số 81.</w:t>
      </w:r>
    </w:p>
    <w:p w14:paraId="3285E07D" w14:textId="177ACCA3" w:rsidR="00DE659F" w:rsidRPr="003314FE" w:rsidRDefault="00DE659F" w:rsidP="00DE659F">
      <w:pPr>
        <w:pStyle w:val="NormalWeb"/>
        <w:shd w:val="clear" w:color="auto" w:fill="FFFFFF"/>
        <w:spacing w:before="120" w:beforeAutospacing="0" w:after="120" w:afterAutospacing="0"/>
        <w:ind w:firstLine="567"/>
        <w:jc w:val="both"/>
        <w:rPr>
          <w:sz w:val="28"/>
          <w:szCs w:val="28"/>
        </w:rPr>
      </w:pPr>
      <w:r w:rsidRPr="003314FE">
        <w:rPr>
          <w:bCs/>
          <w:iCs/>
          <w:sz w:val="28"/>
          <w:szCs w:val="28"/>
          <w:lang w:val="af-ZA"/>
        </w:rPr>
        <w:t>(2)</w:t>
      </w:r>
      <w:r w:rsidRPr="003314FE">
        <w:rPr>
          <w:bCs/>
          <w:iCs/>
          <w:lang w:val="af-ZA"/>
        </w:rPr>
        <w:t xml:space="preserve"> </w:t>
      </w:r>
      <w:r w:rsidRPr="003314FE">
        <w:rPr>
          <w:sz w:val="28"/>
          <w:szCs w:val="28"/>
        </w:rPr>
        <w:t>Cử tri tỉnh Phú Yên kiến nghị làm rõ trách nhiệm của các cơ quan, đơn vị trong đợt xả lũ trên lưu vực sông Ba Hạ vào cuối tháng 11</w:t>
      </w:r>
      <w:r w:rsidR="00F66628" w:rsidRPr="003314FE">
        <w:rPr>
          <w:sz w:val="28"/>
          <w:szCs w:val="28"/>
        </w:rPr>
        <w:t xml:space="preserve"> </w:t>
      </w:r>
      <w:r w:rsidR="00DF5376" w:rsidRPr="003314FE">
        <w:rPr>
          <w:sz w:val="28"/>
          <w:szCs w:val="28"/>
        </w:rPr>
        <w:t xml:space="preserve">năm </w:t>
      </w:r>
      <w:r w:rsidRPr="003314FE">
        <w:rPr>
          <w:sz w:val="28"/>
          <w:szCs w:val="28"/>
        </w:rPr>
        <w:t>2021 gây thiệt hại lớn về người và tài sản.</w:t>
      </w:r>
    </w:p>
    <w:p w14:paraId="5501F194" w14:textId="21E066DC" w:rsidR="00DE659F" w:rsidRPr="003314FE" w:rsidRDefault="00DE659F" w:rsidP="00DE659F">
      <w:pPr>
        <w:pStyle w:val="NormalWeb"/>
        <w:shd w:val="clear" w:color="auto" w:fill="FFFFFF"/>
        <w:spacing w:before="120" w:beforeAutospacing="0" w:after="120" w:afterAutospacing="0"/>
        <w:ind w:firstLine="567"/>
        <w:jc w:val="both"/>
        <w:rPr>
          <w:sz w:val="28"/>
          <w:szCs w:val="28"/>
        </w:rPr>
      </w:pPr>
      <w:r w:rsidRPr="003314FE">
        <w:rPr>
          <w:sz w:val="28"/>
          <w:szCs w:val="28"/>
        </w:rPr>
        <w:t>Trả lời cử tri</w:t>
      </w:r>
      <w:r w:rsidRPr="003314FE">
        <w:rPr>
          <w:rStyle w:val="EndnoteReference"/>
          <w:sz w:val="28"/>
          <w:szCs w:val="28"/>
        </w:rPr>
        <w:endnoteReference w:id="19"/>
      </w:r>
      <w:r w:rsidRPr="003314FE">
        <w:rPr>
          <w:sz w:val="28"/>
          <w:szCs w:val="28"/>
        </w:rPr>
        <w:t>, Bộ Công thương chỉ nêu các quy định của pháp luật về quy trình vận hành trong mùa lũ đối với sông Ba Hạ</w:t>
      </w:r>
      <w:r w:rsidRPr="003314FE">
        <w:rPr>
          <w:rStyle w:val="EndnoteReference"/>
          <w:sz w:val="28"/>
          <w:szCs w:val="28"/>
        </w:rPr>
        <w:endnoteReference w:id="20"/>
      </w:r>
      <w:r w:rsidRPr="003314FE">
        <w:rPr>
          <w:sz w:val="28"/>
          <w:szCs w:val="28"/>
        </w:rPr>
        <w:t xml:space="preserve"> nhưng vấn đề cử tri quan tâm là làm rõ trách nhiệm của các cơ quan, đơn vị trong đợt xả lũ trên lưu vực sông Ba Hạ vào cuối tháng 11</w:t>
      </w:r>
      <w:r w:rsidR="00DF5376" w:rsidRPr="003314FE">
        <w:rPr>
          <w:sz w:val="28"/>
          <w:szCs w:val="28"/>
        </w:rPr>
        <w:t xml:space="preserve"> năm </w:t>
      </w:r>
      <w:r w:rsidRPr="003314FE">
        <w:rPr>
          <w:sz w:val="28"/>
          <w:szCs w:val="28"/>
        </w:rPr>
        <w:t xml:space="preserve">2021 lại không được đề cập đến. </w:t>
      </w:r>
      <w:r w:rsidRPr="003314FE">
        <w:rPr>
          <w:b/>
          <w:sz w:val="28"/>
          <w:szCs w:val="28"/>
        </w:rPr>
        <w:t>Kiến nghị Bộ Công thương</w:t>
      </w:r>
      <w:r w:rsidRPr="003314FE">
        <w:rPr>
          <w:sz w:val="28"/>
          <w:szCs w:val="28"/>
        </w:rPr>
        <w:t xml:space="preserve"> trả lời rõ vấn đề cử tri kiến nghị.</w:t>
      </w:r>
    </w:p>
    <w:p w14:paraId="2CD9E401" w14:textId="77777777" w:rsidR="004C52B4" w:rsidRPr="003314FE" w:rsidRDefault="004C52B4" w:rsidP="0024686D">
      <w:pPr>
        <w:tabs>
          <w:tab w:val="left" w:pos="3024"/>
        </w:tabs>
        <w:spacing w:before="120" w:after="120" w:line="240" w:lineRule="auto"/>
        <w:ind w:firstLine="567"/>
        <w:jc w:val="both"/>
        <w:rPr>
          <w:rFonts w:cs="Times New Roman"/>
          <w:b/>
          <w:bCs/>
          <w:szCs w:val="28"/>
          <w:lang w:val="sv-SE"/>
        </w:rPr>
      </w:pPr>
      <w:r w:rsidRPr="003314FE">
        <w:rPr>
          <w:rFonts w:cs="Times New Roman"/>
          <w:b/>
          <w:bCs/>
          <w:szCs w:val="28"/>
          <w:lang w:val="af-ZA"/>
        </w:rPr>
        <w:t>III. Về các kiến nghị</w:t>
      </w:r>
    </w:p>
    <w:p w14:paraId="115D068A" w14:textId="00B8D273" w:rsidR="00690BC3" w:rsidRPr="003314FE" w:rsidRDefault="004C52B4" w:rsidP="00690BC3">
      <w:pPr>
        <w:shd w:val="clear" w:color="auto" w:fill="FFFFFF"/>
        <w:spacing w:before="120" w:after="120" w:line="240" w:lineRule="auto"/>
        <w:ind w:firstLine="567"/>
        <w:jc w:val="both"/>
        <w:rPr>
          <w:bCs/>
        </w:rPr>
      </w:pPr>
      <w:r w:rsidRPr="003314FE">
        <w:rPr>
          <w:rFonts w:cs="Times New Roman"/>
          <w:b/>
          <w:bCs/>
          <w:szCs w:val="28"/>
          <w:lang w:val="vi-VN"/>
        </w:rPr>
        <w:t xml:space="preserve">1. </w:t>
      </w:r>
      <w:r w:rsidR="009F77B2" w:rsidRPr="003314FE">
        <w:rPr>
          <w:rFonts w:cs="Times New Roman"/>
          <w:b/>
          <w:bCs/>
          <w:szCs w:val="28"/>
        </w:rPr>
        <w:t>Đối với c</w:t>
      </w:r>
      <w:r w:rsidR="007238FD" w:rsidRPr="003314FE">
        <w:rPr>
          <w:rFonts w:cs="Times New Roman"/>
          <w:b/>
          <w:bCs/>
          <w:szCs w:val="28"/>
          <w:lang w:val="af-ZA"/>
        </w:rPr>
        <w:t xml:space="preserve">ác cơ quan của </w:t>
      </w:r>
      <w:r w:rsidRPr="003314FE">
        <w:rPr>
          <w:rFonts w:cs="Times New Roman"/>
          <w:b/>
          <w:bCs/>
          <w:szCs w:val="28"/>
          <w:lang w:val="vi-VN"/>
        </w:rPr>
        <w:t>Quốc hội</w:t>
      </w:r>
      <w:r w:rsidRPr="003314FE">
        <w:rPr>
          <w:rFonts w:cs="Times New Roman"/>
          <w:b/>
          <w:bCs/>
          <w:szCs w:val="28"/>
        </w:rPr>
        <w:t xml:space="preserve">, Đoàn ĐBQH: </w:t>
      </w:r>
      <w:r w:rsidR="00690BC3" w:rsidRPr="003314FE">
        <w:rPr>
          <w:bCs/>
        </w:rPr>
        <w:t xml:space="preserve">các cơ quan của Quốc hội tiếp tục tăng cường hơn nữa hoạt động giám sát việc ban hành văn bản QPPL; </w:t>
      </w:r>
      <w:r w:rsidR="00690BC3" w:rsidRPr="003314FE">
        <w:rPr>
          <w:bCs/>
          <w:lang w:val="vi-VN"/>
        </w:rPr>
        <w:t>những vấn đề mới phát sinh liên quan trực tiếp đến đời sống, sản xuất, kinh doanh</w:t>
      </w:r>
      <w:r w:rsidR="00CF2920" w:rsidRPr="003314FE">
        <w:rPr>
          <w:bCs/>
        </w:rPr>
        <w:t xml:space="preserve"> của người dân</w:t>
      </w:r>
      <w:r w:rsidR="00690BC3" w:rsidRPr="003314FE">
        <w:rPr>
          <w:bCs/>
        </w:rPr>
        <w:t xml:space="preserve">. Các Đoàn ĐBQH, ĐBQH </w:t>
      </w:r>
      <w:r w:rsidR="00690BC3" w:rsidRPr="003314FE">
        <w:rPr>
          <w:bCs/>
          <w:lang w:val="vi-VN"/>
        </w:rPr>
        <w:t>nâng cao chất lượng tổng hợp</w:t>
      </w:r>
      <w:r w:rsidR="00690BC3" w:rsidRPr="003314FE">
        <w:rPr>
          <w:bCs/>
          <w:lang w:val="en-GB"/>
        </w:rPr>
        <w:t>, phân loại, xử lý</w:t>
      </w:r>
      <w:r w:rsidR="00690BC3" w:rsidRPr="003314FE">
        <w:rPr>
          <w:bCs/>
          <w:lang w:val="vi-VN"/>
        </w:rPr>
        <w:t xml:space="preserve"> kiến nghị cử tri;</w:t>
      </w:r>
      <w:r w:rsidR="00690BC3" w:rsidRPr="003314FE">
        <w:rPr>
          <w:bCs/>
        </w:rPr>
        <w:t xml:space="preserve"> giải đáp ngay những vấn đề cử tri kiến nghị đã được pháp luật quy định hoặc đã được trả lời, giải quyết dứt điểm, tránh việc tổng hợp những kiến nghị này gửi lên các cơ quan Trung ương đề nghị giải quyết.</w:t>
      </w:r>
    </w:p>
    <w:p w14:paraId="799A588F" w14:textId="5C40864F" w:rsidR="00627F2D" w:rsidRPr="003314FE" w:rsidRDefault="004C52B4" w:rsidP="0024686D">
      <w:pPr>
        <w:shd w:val="clear" w:color="auto" w:fill="FFFFFF"/>
        <w:spacing w:before="120" w:after="120" w:line="240" w:lineRule="auto"/>
        <w:ind w:firstLine="567"/>
        <w:jc w:val="both"/>
        <w:rPr>
          <w:rFonts w:cs="Times New Roman"/>
          <w:szCs w:val="28"/>
          <w:lang w:eastAsia="ja-JP"/>
        </w:rPr>
      </w:pPr>
      <w:r w:rsidRPr="003314FE">
        <w:rPr>
          <w:rFonts w:cs="Times New Roman"/>
          <w:b/>
          <w:bCs/>
          <w:szCs w:val="28"/>
          <w:lang w:val="vi-VN" w:eastAsia="ja-JP"/>
        </w:rPr>
        <w:t xml:space="preserve">2. </w:t>
      </w:r>
      <w:r w:rsidR="009F77B2" w:rsidRPr="003314FE">
        <w:rPr>
          <w:rFonts w:cs="Times New Roman"/>
          <w:b/>
          <w:bCs/>
          <w:szCs w:val="28"/>
          <w:lang w:eastAsia="ja-JP"/>
        </w:rPr>
        <w:t xml:space="preserve">Đối với </w:t>
      </w:r>
      <w:r w:rsidRPr="003314FE">
        <w:rPr>
          <w:rFonts w:cs="Times New Roman"/>
          <w:b/>
          <w:bCs/>
          <w:szCs w:val="28"/>
          <w:lang w:val="vi-VN" w:eastAsia="ja-JP"/>
        </w:rPr>
        <w:t xml:space="preserve">Chính phủ, các </w:t>
      </w:r>
      <w:r w:rsidRPr="003314FE">
        <w:rPr>
          <w:rFonts w:cs="Times New Roman"/>
          <w:b/>
          <w:bCs/>
          <w:szCs w:val="28"/>
          <w:lang w:val="it-IT" w:eastAsia="ja-JP"/>
        </w:rPr>
        <w:t>B</w:t>
      </w:r>
      <w:r w:rsidRPr="003314FE">
        <w:rPr>
          <w:rFonts w:cs="Times New Roman"/>
          <w:b/>
          <w:bCs/>
          <w:szCs w:val="28"/>
          <w:lang w:val="vi-VN" w:eastAsia="ja-JP"/>
        </w:rPr>
        <w:t xml:space="preserve">ộ, </w:t>
      </w:r>
      <w:r w:rsidR="007238FD" w:rsidRPr="003314FE">
        <w:rPr>
          <w:rFonts w:cs="Times New Roman"/>
          <w:b/>
          <w:bCs/>
          <w:szCs w:val="28"/>
          <w:lang w:eastAsia="ja-JP"/>
        </w:rPr>
        <w:t>ngành Trung ương</w:t>
      </w:r>
      <w:r w:rsidRPr="003314FE">
        <w:rPr>
          <w:rFonts w:cs="Times New Roman"/>
          <w:b/>
          <w:bCs/>
          <w:szCs w:val="28"/>
          <w:lang w:eastAsia="ja-JP"/>
        </w:rPr>
        <w:t xml:space="preserve">: </w:t>
      </w:r>
      <w:r w:rsidRPr="003314FE">
        <w:rPr>
          <w:rFonts w:cs="Times New Roman"/>
          <w:szCs w:val="28"/>
        </w:rPr>
        <w:t>Chính phủ chỉ đạo các Bộ</w:t>
      </w:r>
      <w:r w:rsidR="00674732" w:rsidRPr="003314FE">
        <w:rPr>
          <w:rFonts w:cs="Times New Roman"/>
          <w:szCs w:val="28"/>
        </w:rPr>
        <w:t>,</w:t>
      </w:r>
      <w:r w:rsidRPr="003314FE">
        <w:rPr>
          <w:rFonts w:cs="Times New Roman"/>
          <w:szCs w:val="28"/>
        </w:rPr>
        <w:t xml:space="preserve"> ngành giải quyết những tồn tại hạn chế như đã nêu trong báo cáo; </w:t>
      </w:r>
      <w:r w:rsidRPr="003314FE">
        <w:rPr>
          <w:rFonts w:cs="Times New Roman"/>
          <w:szCs w:val="28"/>
          <w:lang w:eastAsia="ja-JP"/>
        </w:rPr>
        <w:t xml:space="preserve">rà soát, giải quyết dứt điểm các </w:t>
      </w:r>
      <w:r w:rsidRPr="003314FE">
        <w:rPr>
          <w:rFonts w:cs="Times New Roman"/>
          <w:szCs w:val="28"/>
          <w:lang w:val="vi-VN" w:eastAsia="ja-JP"/>
        </w:rPr>
        <w:t>kiến nghị</w:t>
      </w:r>
      <w:r w:rsidRPr="003314FE">
        <w:rPr>
          <w:rFonts w:cs="Times New Roman"/>
          <w:szCs w:val="28"/>
          <w:lang w:eastAsia="ja-JP"/>
        </w:rPr>
        <w:t xml:space="preserve"> đang trong quá trình giải quyết, hạn chế </w:t>
      </w:r>
      <w:r w:rsidRPr="003314FE">
        <w:rPr>
          <w:rFonts w:cs="Times New Roman"/>
          <w:szCs w:val="28"/>
          <w:lang w:val="vi-VN" w:eastAsia="ja-JP"/>
        </w:rPr>
        <w:t>chuyển</w:t>
      </w:r>
      <w:r w:rsidRPr="003314FE">
        <w:rPr>
          <w:rFonts w:cs="Times New Roman"/>
          <w:szCs w:val="28"/>
          <w:lang w:eastAsia="ja-JP"/>
        </w:rPr>
        <w:t xml:space="preserve"> kiến nghị chưa được giải quyết</w:t>
      </w:r>
      <w:r w:rsidRPr="003314FE">
        <w:rPr>
          <w:rFonts w:cs="Times New Roman"/>
          <w:szCs w:val="28"/>
          <w:lang w:val="vi-VN" w:eastAsia="ja-JP"/>
        </w:rPr>
        <w:t xml:space="preserve"> sang </w:t>
      </w:r>
      <w:r w:rsidR="005852EA" w:rsidRPr="003314FE">
        <w:rPr>
          <w:rFonts w:cs="Times New Roman"/>
          <w:szCs w:val="28"/>
          <w:lang w:eastAsia="ja-JP"/>
        </w:rPr>
        <w:t>kỳ họ</w:t>
      </w:r>
      <w:r w:rsidR="00627F2D" w:rsidRPr="003314FE">
        <w:rPr>
          <w:rFonts w:cs="Times New Roman"/>
          <w:szCs w:val="28"/>
          <w:lang w:eastAsia="ja-JP"/>
        </w:rPr>
        <w:t xml:space="preserve">p sau. </w:t>
      </w:r>
    </w:p>
    <w:p w14:paraId="3FFC64FF" w14:textId="0EBB8CE0" w:rsidR="004C52B4" w:rsidRPr="003314FE" w:rsidRDefault="004C52B4" w:rsidP="0024686D">
      <w:pPr>
        <w:shd w:val="clear" w:color="auto" w:fill="FFFFFF"/>
        <w:spacing w:before="120" w:after="120" w:line="240" w:lineRule="auto"/>
        <w:ind w:firstLine="567"/>
        <w:jc w:val="both"/>
        <w:rPr>
          <w:rFonts w:cs="Times New Roman"/>
          <w:bCs/>
          <w:iCs/>
          <w:szCs w:val="28"/>
          <w:lang w:val="sv-SE"/>
        </w:rPr>
      </w:pPr>
      <w:r w:rsidRPr="003314FE">
        <w:rPr>
          <w:rFonts w:cs="Times New Roman"/>
          <w:bCs/>
          <w:iCs/>
          <w:szCs w:val="28"/>
          <w:lang w:val="sv-SE"/>
        </w:rPr>
        <w:t xml:space="preserve">Trên đây là Báo cáo tóm tắt kết quả giám sát việc giải quyết kiến nghị </w:t>
      </w:r>
      <w:r w:rsidR="00C5446F" w:rsidRPr="003314FE">
        <w:rPr>
          <w:rFonts w:cs="Times New Roman"/>
          <w:bCs/>
          <w:iCs/>
          <w:szCs w:val="28"/>
          <w:lang w:val="sv-SE"/>
        </w:rPr>
        <w:t xml:space="preserve">của </w:t>
      </w:r>
      <w:r w:rsidRPr="003314FE">
        <w:rPr>
          <w:rFonts w:cs="Times New Roman"/>
          <w:bCs/>
          <w:iCs/>
          <w:szCs w:val="28"/>
          <w:lang w:val="sv-SE"/>
        </w:rPr>
        <w:t xml:space="preserve">cử tri gửi đến </w:t>
      </w:r>
      <w:r w:rsidR="002A0CE9" w:rsidRPr="003314FE">
        <w:rPr>
          <w:rFonts w:cs="Times New Roman"/>
          <w:bCs/>
          <w:iCs/>
          <w:szCs w:val="28"/>
          <w:lang w:val="sv-SE"/>
        </w:rPr>
        <w:t>K</w:t>
      </w:r>
      <w:r w:rsidRPr="003314FE">
        <w:rPr>
          <w:rFonts w:cs="Times New Roman"/>
          <w:bCs/>
          <w:iCs/>
          <w:szCs w:val="28"/>
          <w:lang w:val="sv-SE"/>
        </w:rPr>
        <w:t xml:space="preserve">ỳ họp thứ </w:t>
      </w:r>
      <w:r w:rsidR="007F1DEF" w:rsidRPr="003314FE">
        <w:rPr>
          <w:rFonts w:cs="Times New Roman"/>
          <w:bCs/>
          <w:iCs/>
          <w:szCs w:val="28"/>
          <w:lang w:val="sv-SE"/>
        </w:rPr>
        <w:t>Hai</w:t>
      </w:r>
      <w:r w:rsidR="00C5446F" w:rsidRPr="003314FE">
        <w:rPr>
          <w:rFonts w:cs="Times New Roman"/>
          <w:bCs/>
          <w:iCs/>
          <w:szCs w:val="28"/>
          <w:lang w:val="sv-SE"/>
        </w:rPr>
        <w:t xml:space="preserve">, </w:t>
      </w:r>
      <w:r w:rsidR="00C96728" w:rsidRPr="003314FE">
        <w:rPr>
          <w:rFonts w:cs="Times New Roman"/>
          <w:bCs/>
          <w:iCs/>
          <w:szCs w:val="28"/>
          <w:lang w:val="sv-SE"/>
        </w:rPr>
        <w:t>Quốc hội khóa XV, Ủy ban Thường vụ Quốc hội trân trọng báo cáo Quốc hội./.</w:t>
      </w:r>
    </w:p>
    <w:sectPr w:rsidR="004C52B4" w:rsidRPr="003314FE" w:rsidSect="00F6220D">
      <w:footerReference w:type="default" r:id="rId8"/>
      <w:endnotePr>
        <w:numFmt w:val="decimal"/>
      </w:endnotePr>
      <w:pgSz w:w="11907" w:h="16840" w:code="9"/>
      <w:pgMar w:top="851" w:right="1134" w:bottom="851" w:left="1560" w:header="62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7D75C" w14:textId="77777777" w:rsidR="00381300" w:rsidRDefault="00381300" w:rsidP="004C52B4">
      <w:pPr>
        <w:spacing w:after="0" w:line="240" w:lineRule="auto"/>
      </w:pPr>
      <w:r>
        <w:separator/>
      </w:r>
    </w:p>
  </w:endnote>
  <w:endnote w:type="continuationSeparator" w:id="0">
    <w:p w14:paraId="1BF136E9" w14:textId="77777777" w:rsidR="00381300" w:rsidRDefault="00381300" w:rsidP="004C52B4">
      <w:pPr>
        <w:spacing w:after="0" w:line="240" w:lineRule="auto"/>
      </w:pPr>
      <w:r>
        <w:continuationSeparator/>
      </w:r>
    </w:p>
  </w:endnote>
  <w:endnote w:id="1">
    <w:p w14:paraId="2F58304C" w14:textId="6C4C24CB" w:rsidR="00F3427E" w:rsidRDefault="00F3427E" w:rsidP="00383C55">
      <w:pPr>
        <w:pStyle w:val="EndnoteText"/>
        <w:jc w:val="both"/>
      </w:pPr>
      <w:r>
        <w:rPr>
          <w:rStyle w:val="EndnoteReference"/>
        </w:rPr>
        <w:endnoteRef/>
      </w:r>
      <w:r>
        <w:t xml:space="preserve"> </w:t>
      </w:r>
      <w:r>
        <w:rPr>
          <w:rFonts w:ascii="Times New Roman" w:hAnsi="Times New Roman"/>
          <w:sz w:val="22"/>
          <w:szCs w:val="22"/>
        </w:rPr>
        <w:t xml:space="preserve">Bao gồm kết quả giải quyết, trả lời KNCT gửi đến sau Kỳ họp thứ Nhất, </w:t>
      </w:r>
      <w:r w:rsidR="00E832F0">
        <w:rPr>
          <w:rFonts w:ascii="Times New Roman" w:hAnsi="Times New Roman"/>
          <w:sz w:val="22"/>
          <w:szCs w:val="22"/>
        </w:rPr>
        <w:t xml:space="preserve">trước và sau </w:t>
      </w:r>
      <w:r>
        <w:rPr>
          <w:rFonts w:ascii="Times New Roman" w:hAnsi="Times New Roman"/>
          <w:sz w:val="22"/>
          <w:szCs w:val="22"/>
        </w:rPr>
        <w:t>Kỳ họp thứ Hai và Kỳ họp bất thường lần thứ Nhất.</w:t>
      </w:r>
    </w:p>
  </w:endnote>
  <w:endnote w:id="2">
    <w:p w14:paraId="71A7B044" w14:textId="77777777" w:rsidR="00DE659F" w:rsidRDefault="00DE659F" w:rsidP="00383C55">
      <w:pPr>
        <w:pStyle w:val="EndnoteText"/>
      </w:pPr>
      <w:r>
        <w:rPr>
          <w:rStyle w:val="EndnoteReference"/>
        </w:rPr>
        <w:endnoteRef/>
      </w:r>
      <w:r>
        <w:t xml:space="preserve"> </w:t>
      </w:r>
      <w:r w:rsidRPr="00A56F9B">
        <w:rPr>
          <w:rFonts w:ascii="Times New Roman" w:hAnsi="Times New Roman"/>
          <w:sz w:val="22"/>
          <w:szCs w:val="22"/>
        </w:rPr>
        <w:t>Phụ lục 2: Tổng hợp số liệu kết quả giải quyết, trả lời KNCT.</w:t>
      </w:r>
    </w:p>
  </w:endnote>
  <w:endnote w:id="3">
    <w:p w14:paraId="4B3E12EC" w14:textId="55F04C38" w:rsidR="006803BE" w:rsidRDefault="006803BE" w:rsidP="00383C55">
      <w:pPr>
        <w:pStyle w:val="EndnoteText"/>
        <w:jc w:val="both"/>
      </w:pPr>
      <w:r>
        <w:rPr>
          <w:rStyle w:val="EndnoteReference"/>
        </w:rPr>
        <w:endnoteRef/>
      </w:r>
      <w:r>
        <w:t xml:space="preserve"> </w:t>
      </w:r>
      <w:r w:rsidRPr="006803BE">
        <w:rPr>
          <w:rFonts w:ascii="Times New Roman" w:hAnsi="Times New Roman"/>
          <w:sz w:val="22"/>
          <w:szCs w:val="22"/>
        </w:rPr>
        <w:t>Nghị định số 67/2014/NĐ-CP ngày 07/7/2014 của Chính phủ  quy định về một số chính sách phát triển thủy sản</w:t>
      </w:r>
      <w:r w:rsidR="00F17B63">
        <w:rPr>
          <w:rFonts w:ascii="Times New Roman" w:hAnsi="Times New Roman"/>
          <w:sz w:val="22"/>
          <w:szCs w:val="22"/>
        </w:rPr>
        <w:t>.</w:t>
      </w:r>
    </w:p>
  </w:endnote>
  <w:endnote w:id="4">
    <w:p w14:paraId="68639ECF" w14:textId="77777777" w:rsidR="00825623" w:rsidRPr="00825623" w:rsidRDefault="00825623" w:rsidP="00383C55">
      <w:pPr>
        <w:pStyle w:val="EndnoteText"/>
        <w:rPr>
          <w:rFonts w:ascii="Times New Roman" w:hAnsi="Times New Roman"/>
        </w:rPr>
      </w:pPr>
      <w:r w:rsidRPr="00825623">
        <w:rPr>
          <w:rStyle w:val="EndnoteReference"/>
          <w:rFonts w:ascii="Times New Roman" w:hAnsi="Times New Roman"/>
          <w:sz w:val="22"/>
        </w:rPr>
        <w:endnoteRef/>
      </w:r>
      <w:r w:rsidRPr="00825623">
        <w:rPr>
          <w:rFonts w:ascii="Times New Roman" w:hAnsi="Times New Roman"/>
          <w:sz w:val="22"/>
        </w:rPr>
        <w:t xml:space="preserve"> Văn bản số 01/BHTC-2020 ngày 19/3/2020.</w:t>
      </w:r>
    </w:p>
  </w:endnote>
  <w:endnote w:id="5">
    <w:p w14:paraId="414DB405" w14:textId="199216F1" w:rsidR="00893904" w:rsidRDefault="00893904" w:rsidP="00383C55">
      <w:pPr>
        <w:pStyle w:val="EndnoteText"/>
        <w:jc w:val="both"/>
      </w:pPr>
      <w:r>
        <w:rPr>
          <w:rStyle w:val="EndnoteReference"/>
        </w:rPr>
        <w:endnoteRef/>
      </w:r>
      <w:r>
        <w:t xml:space="preserve"> </w:t>
      </w:r>
      <w:r w:rsidRPr="00893904">
        <w:rPr>
          <w:rFonts w:ascii="Times New Roman" w:hAnsi="Times New Roman"/>
          <w:sz w:val="22"/>
          <w:szCs w:val="22"/>
        </w:rPr>
        <w:t>Tổng Công ty Bảo hiểm Bảo Việt</w:t>
      </w:r>
      <w:r>
        <w:rPr>
          <w:rFonts w:ascii="Times New Roman" w:hAnsi="Times New Roman"/>
          <w:sz w:val="22"/>
          <w:szCs w:val="22"/>
        </w:rPr>
        <w:t xml:space="preserve"> tạm dừng nhận bảo hiểm tàu cá kể từ ngày 21/4/2020 (văn bản số 1968/BHBV-BHHH ngày 21/4/2020);</w:t>
      </w:r>
      <w:r w:rsidRPr="00893904">
        <w:rPr>
          <w:rFonts w:ascii="Times New Roman" w:hAnsi="Times New Roman"/>
          <w:sz w:val="22"/>
          <w:szCs w:val="22"/>
        </w:rPr>
        <w:t xml:space="preserve"> Tổng Công ty Cổ phần Bảo Minh, Tổng công ty bảo hiểm Petrolimex, Tổng Công ty bảo hiểm PVI</w:t>
      </w:r>
      <w:r>
        <w:rPr>
          <w:rFonts w:ascii="Times New Roman" w:hAnsi="Times New Roman"/>
          <w:sz w:val="22"/>
          <w:szCs w:val="22"/>
        </w:rPr>
        <w:t xml:space="preserve"> </w:t>
      </w:r>
      <w:r>
        <w:rPr>
          <w:rFonts w:ascii="Times New Roman" w:hAnsi="Times New Roman"/>
          <w:sz w:val="22"/>
        </w:rPr>
        <w:t xml:space="preserve"> </w:t>
      </w:r>
      <w:r>
        <w:rPr>
          <w:rFonts w:ascii="Times New Roman" w:hAnsi="Times New Roman"/>
          <w:sz w:val="22"/>
          <w:szCs w:val="22"/>
        </w:rPr>
        <w:t>tạm dừng nhận bảo hiểm tàu cá kể từ ngày 17/4/2020 (V</w:t>
      </w:r>
      <w:r w:rsidRPr="00825623">
        <w:rPr>
          <w:rFonts w:ascii="Times New Roman" w:hAnsi="Times New Roman"/>
          <w:sz w:val="22"/>
        </w:rPr>
        <w:t xml:space="preserve">ăn bản số </w:t>
      </w:r>
      <w:r>
        <w:rPr>
          <w:rFonts w:ascii="Times New Roman" w:hAnsi="Times New Roman"/>
          <w:sz w:val="22"/>
        </w:rPr>
        <w:t>00</w:t>
      </w:r>
      <w:r w:rsidRPr="00825623">
        <w:rPr>
          <w:rFonts w:ascii="Times New Roman" w:hAnsi="Times New Roman"/>
          <w:sz w:val="22"/>
        </w:rPr>
        <w:t>01/</w:t>
      </w:r>
      <w:r>
        <w:rPr>
          <w:rFonts w:ascii="Times New Roman" w:hAnsi="Times New Roman"/>
          <w:sz w:val="22"/>
        </w:rPr>
        <w:t>2020/DNBH ngày 14/4/2020).</w:t>
      </w:r>
    </w:p>
  </w:endnote>
  <w:endnote w:id="6">
    <w:p w14:paraId="246395B6" w14:textId="0CAF73FE" w:rsidR="00C96728" w:rsidRDefault="00C96728" w:rsidP="00383C55">
      <w:pPr>
        <w:pStyle w:val="EndnoteText"/>
        <w:jc w:val="both"/>
      </w:pPr>
      <w:r>
        <w:rPr>
          <w:rStyle w:val="EndnoteReference"/>
        </w:rPr>
        <w:endnoteRef/>
      </w:r>
      <w:r>
        <w:t xml:space="preserve"> </w:t>
      </w:r>
      <w:r w:rsidRPr="00C8139A">
        <w:rPr>
          <w:rFonts w:ascii="Times New Roman" w:hAnsi="Times New Roman"/>
          <w:sz w:val="22"/>
          <w:szCs w:val="22"/>
        </w:rPr>
        <w:t>Văn bản số 13472/BTC-QLBH</w:t>
      </w:r>
      <w:r>
        <w:rPr>
          <w:rFonts w:ascii="Times New Roman" w:hAnsi="Times New Roman"/>
          <w:sz w:val="22"/>
          <w:szCs w:val="22"/>
        </w:rPr>
        <w:t xml:space="preserve"> ngày 26/11/202; Văn bản số 4019/BTC-QLBH ngày 09/5/2022.</w:t>
      </w:r>
    </w:p>
  </w:endnote>
  <w:endnote w:id="7">
    <w:p w14:paraId="605E6268" w14:textId="77777777" w:rsidR="00C07DAA" w:rsidRPr="00537E90" w:rsidRDefault="00C07DAA" w:rsidP="00383C55">
      <w:pPr>
        <w:pStyle w:val="EndnoteText"/>
        <w:jc w:val="both"/>
        <w:rPr>
          <w:rFonts w:ascii="Times New Roman" w:hAnsi="Times New Roman"/>
          <w:sz w:val="22"/>
          <w:szCs w:val="22"/>
        </w:rPr>
      </w:pPr>
      <w:r w:rsidRPr="00C8139A">
        <w:rPr>
          <w:rStyle w:val="EndnoteReference"/>
          <w:rFonts w:ascii="Times New Roman" w:hAnsi="Times New Roman"/>
          <w:sz w:val="22"/>
          <w:szCs w:val="22"/>
        </w:rPr>
        <w:endnoteRef/>
      </w:r>
      <w:r w:rsidRPr="00C8139A">
        <w:rPr>
          <w:rFonts w:ascii="Times New Roman" w:hAnsi="Times New Roman"/>
          <w:sz w:val="22"/>
          <w:szCs w:val="22"/>
        </w:rPr>
        <w:t xml:space="preserve"> </w:t>
      </w:r>
      <w:r w:rsidRPr="00C8139A">
        <w:rPr>
          <w:rFonts w:ascii="Times New Roman" w:hAnsi="Times New Roman"/>
          <w:sz w:val="22"/>
          <w:szCs w:val="22"/>
          <w:shd w:val="clear" w:color="auto" w:fill="FFFFFF"/>
          <w:lang w:val="vi-VN"/>
        </w:rPr>
        <w:t>Cao Bằng, Hà Giang, Lai Châu, Nghệ An, Quảng Nam, Kon Tu</w:t>
      </w:r>
      <w:r w:rsidRPr="00C8139A">
        <w:rPr>
          <w:rFonts w:ascii="Times New Roman" w:hAnsi="Times New Roman"/>
          <w:sz w:val="22"/>
          <w:szCs w:val="22"/>
          <w:shd w:val="clear" w:color="auto" w:fill="FFFFFF"/>
        </w:rPr>
        <w:t>m</w:t>
      </w:r>
      <w:r w:rsidRPr="00C8139A">
        <w:rPr>
          <w:rFonts w:ascii="Times New Roman" w:hAnsi="Times New Roman"/>
          <w:sz w:val="22"/>
          <w:szCs w:val="22"/>
          <w:shd w:val="clear" w:color="auto" w:fill="FFFFFF"/>
          <w:lang w:val="vi-VN"/>
        </w:rPr>
        <w:t>, Đắk Nông, Ninh Thuận, Trà Vinh, Kiên Giang</w:t>
      </w:r>
      <w:r>
        <w:rPr>
          <w:rFonts w:ascii="Times New Roman" w:hAnsi="Times New Roman"/>
          <w:sz w:val="22"/>
          <w:szCs w:val="22"/>
          <w:shd w:val="clear" w:color="auto" w:fill="FFFFFF"/>
        </w:rPr>
        <w:t>.</w:t>
      </w:r>
    </w:p>
  </w:endnote>
  <w:endnote w:id="8">
    <w:p w14:paraId="0FEE7BD3"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rStyle w:val="EndnoteReference"/>
          <w:sz w:val="22"/>
          <w:szCs w:val="22"/>
        </w:rPr>
        <w:endnoteRef/>
      </w:r>
      <w:r w:rsidRPr="00C8139A">
        <w:rPr>
          <w:sz w:val="22"/>
          <w:szCs w:val="22"/>
        </w:rPr>
        <w:t xml:space="preserve"> Khoản 1 mục II Điều 1. </w:t>
      </w:r>
      <w:r w:rsidRPr="00C8139A">
        <w:rPr>
          <w:sz w:val="22"/>
          <w:szCs w:val="22"/>
          <w:lang w:val="vi-VN"/>
        </w:rPr>
        <w:t>Đối tượng thụ hưởng</w:t>
      </w:r>
    </w:p>
    <w:p w14:paraId="4B111296"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sz w:val="22"/>
          <w:szCs w:val="22"/>
          <w:lang w:val="vi-VN"/>
        </w:rPr>
        <w:t>- Già làng, trưởng thôn, bản, người có uy tín, các chức sắc tôn giáo ở các thôn đặc biệt khó khăn thuộc các xã khu vực III ở các tỉnh được chọn điểm.</w:t>
      </w:r>
    </w:p>
    <w:p w14:paraId="6902E286"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sz w:val="22"/>
          <w:szCs w:val="22"/>
          <w:lang w:val="vi-VN"/>
        </w:rPr>
        <w:t>- Bí thư chi bộ, chi hội trưởng chi hội phụ nữ, Bí thư chi đoàn thanh niên, chi hội trưởng chi hội cựu chiến binh, chi hội trưởng chi hội nông dân; trưởng ban công tác mặt trận; cán bộ tư pháp, cán bộ văn hóa thông tin ở các thôn đặc biệt khó khăn thuộc các xã khu vực III, xã biên giới ở tỉnh được </w:t>
      </w:r>
      <w:r w:rsidRPr="00C8139A">
        <w:rPr>
          <w:sz w:val="22"/>
          <w:szCs w:val="22"/>
        </w:rPr>
        <w:t>l</w:t>
      </w:r>
      <w:r w:rsidRPr="00C8139A">
        <w:rPr>
          <w:sz w:val="22"/>
          <w:szCs w:val="22"/>
          <w:lang w:val="vi-VN"/>
        </w:rPr>
        <w:t>ựa chọn thí điểm.</w:t>
      </w:r>
    </w:p>
    <w:p w14:paraId="2EB92D4F"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sz w:val="22"/>
          <w:szCs w:val="22"/>
          <w:lang w:val="vi-VN"/>
        </w:rPr>
        <w:t>- Đồn, trạm, đội công tác biên phòng và các đồng chí bộ đội biên phòng tăng cường xuống xã biên gi</w:t>
      </w:r>
      <w:r w:rsidRPr="00C8139A">
        <w:rPr>
          <w:sz w:val="22"/>
          <w:szCs w:val="22"/>
        </w:rPr>
        <w:t>ớ</w:t>
      </w:r>
      <w:r w:rsidRPr="00C8139A">
        <w:rPr>
          <w:sz w:val="22"/>
          <w:szCs w:val="22"/>
          <w:lang w:val="vi-VN"/>
        </w:rPr>
        <w:t>i ở tỉnh được lựa chọn thí điểm.</w:t>
      </w:r>
    </w:p>
    <w:p w14:paraId="110C087E"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sz w:val="22"/>
          <w:szCs w:val="22"/>
          <w:lang w:val="vi-VN"/>
        </w:rPr>
        <w:t>Mỗi đối tượng thụ hưởng được cấp 01 chiếc ra-đi-ô.</w:t>
      </w:r>
    </w:p>
  </w:endnote>
  <w:endnote w:id="9">
    <w:p w14:paraId="15AE869E" w14:textId="77777777" w:rsidR="00DE659F" w:rsidRPr="00B312B9" w:rsidRDefault="00DE659F" w:rsidP="00383C55">
      <w:pPr>
        <w:pStyle w:val="EndnoteText"/>
        <w:rPr>
          <w:rFonts w:ascii="Times New Roman" w:hAnsi="Times New Roman"/>
          <w:sz w:val="22"/>
          <w:szCs w:val="22"/>
        </w:rPr>
      </w:pPr>
      <w:r w:rsidRPr="00B312B9">
        <w:rPr>
          <w:rStyle w:val="EndnoteReference"/>
          <w:rFonts w:ascii="Times New Roman" w:hAnsi="Times New Roman"/>
          <w:sz w:val="22"/>
          <w:szCs w:val="22"/>
        </w:rPr>
        <w:endnoteRef/>
      </w:r>
      <w:r w:rsidRPr="00B312B9">
        <w:rPr>
          <w:rFonts w:ascii="Times New Roman" w:hAnsi="Times New Roman"/>
          <w:sz w:val="22"/>
          <w:szCs w:val="22"/>
        </w:rPr>
        <w:t xml:space="preserve"> Văn bản số 3333/BTC-HCSN ngày 14/4/2022 của Bộ Tài chính.</w:t>
      </w:r>
    </w:p>
  </w:endnote>
  <w:endnote w:id="10">
    <w:p w14:paraId="05D54CD4" w14:textId="77777777" w:rsidR="00C141D5" w:rsidRPr="00AA3671" w:rsidRDefault="00C141D5" w:rsidP="00383C55">
      <w:pPr>
        <w:pStyle w:val="EndnoteText"/>
        <w:jc w:val="both"/>
        <w:rPr>
          <w:rFonts w:ascii="Times New Roman" w:hAnsi="Times New Roman"/>
          <w:sz w:val="22"/>
          <w:szCs w:val="22"/>
        </w:rPr>
      </w:pPr>
      <w:r w:rsidRPr="00AA3671">
        <w:rPr>
          <w:rStyle w:val="EndnoteReference"/>
          <w:rFonts w:ascii="Times New Roman" w:hAnsi="Times New Roman"/>
          <w:sz w:val="22"/>
          <w:szCs w:val="22"/>
        </w:rPr>
        <w:endnoteRef/>
      </w:r>
      <w:r w:rsidRPr="00AA3671">
        <w:rPr>
          <w:rFonts w:ascii="Times New Roman" w:hAnsi="Times New Roman"/>
          <w:sz w:val="22"/>
          <w:szCs w:val="22"/>
        </w:rPr>
        <w:t xml:space="preserve"> Văn bản số 8650 /BCT-KH ngày 31/12/2021.</w:t>
      </w:r>
    </w:p>
  </w:endnote>
  <w:endnote w:id="11">
    <w:p w14:paraId="62F1190F" w14:textId="77777777" w:rsidR="00C141D5" w:rsidRPr="0031365A" w:rsidRDefault="00C141D5" w:rsidP="00383C55">
      <w:pPr>
        <w:pStyle w:val="EndnoteText"/>
        <w:rPr>
          <w:rFonts w:ascii="Times New Roman" w:hAnsi="Times New Roman"/>
          <w:sz w:val="22"/>
          <w:szCs w:val="22"/>
        </w:rPr>
      </w:pPr>
      <w:r>
        <w:rPr>
          <w:rStyle w:val="EndnoteReference"/>
        </w:rPr>
        <w:endnoteRef/>
      </w:r>
      <w:r>
        <w:t xml:space="preserve"> </w:t>
      </w:r>
      <w:r w:rsidRPr="0031365A">
        <w:rPr>
          <w:rFonts w:ascii="Times New Roman" w:hAnsi="Times New Roman"/>
          <w:sz w:val="22"/>
          <w:szCs w:val="22"/>
        </w:rPr>
        <w:t>Văn bản số 2496/BCT-KH ngày 10/5/2022.</w:t>
      </w:r>
    </w:p>
  </w:endnote>
  <w:endnote w:id="12">
    <w:p w14:paraId="565B4F8E" w14:textId="77777777" w:rsidR="00C141D5" w:rsidRPr="001A4906" w:rsidRDefault="00C141D5" w:rsidP="00383C55">
      <w:pPr>
        <w:pStyle w:val="NormalWeb"/>
        <w:shd w:val="clear" w:color="auto" w:fill="FFFFFF"/>
        <w:spacing w:before="0" w:beforeAutospacing="0" w:after="0" w:afterAutospacing="0"/>
        <w:jc w:val="both"/>
        <w:rPr>
          <w:color w:val="000000"/>
          <w:sz w:val="22"/>
          <w:szCs w:val="22"/>
        </w:rPr>
      </w:pPr>
      <w:r w:rsidRPr="00AA3671">
        <w:rPr>
          <w:rStyle w:val="EndnoteReference"/>
          <w:sz w:val="22"/>
          <w:szCs w:val="22"/>
        </w:rPr>
        <w:endnoteRef/>
      </w:r>
      <w:r w:rsidRPr="00AA3671">
        <w:rPr>
          <w:sz w:val="22"/>
          <w:szCs w:val="22"/>
        </w:rPr>
        <w:t xml:space="preserve"> </w:t>
      </w:r>
      <w:bookmarkStart w:id="7" w:name="dieu_170"/>
      <w:r w:rsidRPr="00AA3671">
        <w:rPr>
          <w:sz w:val="22"/>
          <w:szCs w:val="22"/>
        </w:rPr>
        <w:t xml:space="preserve">Luật ban hành văn bản QPPL: </w:t>
      </w:r>
      <w:r w:rsidRPr="001A4906">
        <w:rPr>
          <w:bCs/>
          <w:color w:val="000000"/>
          <w:sz w:val="22"/>
          <w:szCs w:val="22"/>
          <w:lang w:val="pt-BR"/>
        </w:rPr>
        <w:t>Điều 170. Rà soát, hệ thống hóa văn bản quy phạm pháp luật</w:t>
      </w:r>
      <w:bookmarkEnd w:id="7"/>
    </w:p>
    <w:p w14:paraId="0807E523" w14:textId="77777777" w:rsidR="00C141D5" w:rsidRPr="00AA3671" w:rsidRDefault="00C141D5" w:rsidP="00383C55">
      <w:pPr>
        <w:pStyle w:val="NormalWeb"/>
        <w:shd w:val="clear" w:color="auto" w:fill="FFFFFF"/>
        <w:spacing w:before="0" w:beforeAutospacing="0" w:after="0" w:afterAutospacing="0"/>
        <w:jc w:val="both"/>
        <w:rPr>
          <w:color w:val="000000"/>
          <w:sz w:val="22"/>
          <w:szCs w:val="22"/>
        </w:rPr>
      </w:pPr>
      <w:r w:rsidRPr="00AA3671">
        <w:rPr>
          <w:color w:val="000000"/>
          <w:sz w:val="22"/>
          <w:szCs w:val="22"/>
          <w:lang w:val="pt-BR"/>
        </w:rPr>
        <w:t>1. Cơ quan nhà nước trong phạm vi nhiệm vụ, quyền hạn của mình có trách nhiệm rà soát, hệ thống hóa các văn bản quy phạm pháp luật; nếu phát hiện có quy định trái pháp luật, mâu thuẫn, chồng chéo, hết hiệu lực hoặc không còn phù hợp với tình hình phát triển kinh tế - xã hội thì tự mình hoặc kiến nghị với cơ quan nhà nước có thẩm quyền kịp thời đình chỉ việc thi hành, bãi bỏ, sửa đổi, bổ sung, ban hành văn bản mới hoặc thay thế văn bản quy phạm pháp luật.</w:t>
      </w:r>
    </w:p>
    <w:p w14:paraId="31EE2E6E" w14:textId="77777777" w:rsidR="00C141D5" w:rsidRPr="00AA3671" w:rsidRDefault="00C141D5" w:rsidP="00383C55">
      <w:pPr>
        <w:pStyle w:val="NormalWeb"/>
        <w:shd w:val="clear" w:color="auto" w:fill="FFFFFF"/>
        <w:spacing w:before="0" w:beforeAutospacing="0" w:after="0" w:afterAutospacing="0"/>
        <w:jc w:val="both"/>
        <w:rPr>
          <w:color w:val="000000"/>
          <w:sz w:val="22"/>
          <w:szCs w:val="22"/>
        </w:rPr>
      </w:pPr>
      <w:r w:rsidRPr="00AA3671">
        <w:rPr>
          <w:color w:val="000000"/>
          <w:sz w:val="22"/>
          <w:szCs w:val="22"/>
          <w:lang w:val="pt-BR"/>
        </w:rPr>
        <w:t>Cơ quan, tổ chức và công dân có quyền đề nghị cơ quan nhà nước có thẩm quyền xem xét đình chỉ việc thi hành, bãi bỏ, sửa đổi, bổ sung, ban hành văn bản mới hoặc thay thế văn bản quy phạm pháp luật.</w:t>
      </w:r>
    </w:p>
    <w:p w14:paraId="19780D14" w14:textId="77777777" w:rsidR="00C141D5" w:rsidRPr="00AA3671" w:rsidRDefault="00C141D5" w:rsidP="00383C55">
      <w:pPr>
        <w:pStyle w:val="NormalWeb"/>
        <w:shd w:val="clear" w:color="auto" w:fill="FFFFFF"/>
        <w:spacing w:before="0" w:beforeAutospacing="0" w:after="0" w:afterAutospacing="0"/>
        <w:jc w:val="both"/>
        <w:rPr>
          <w:color w:val="000000"/>
          <w:sz w:val="22"/>
          <w:szCs w:val="22"/>
        </w:rPr>
      </w:pPr>
      <w:r w:rsidRPr="00AA3671">
        <w:rPr>
          <w:color w:val="000000"/>
          <w:sz w:val="22"/>
          <w:szCs w:val="22"/>
          <w:lang w:val="pt-BR"/>
        </w:rPr>
        <w:t>2. Hoạt động rà soát văn bản phải được tiến hành thường xuyên, ngay khi có căn cứ rà soát văn bản. Hoạt động hệ thống hóa văn bản phải được tiến hành định kỳ, kịp thời công bố Tập hệ thống hóa văn bản quy phạm pháp luật còn hiệu lực.</w:t>
      </w:r>
    </w:p>
  </w:endnote>
  <w:endnote w:id="13">
    <w:p w14:paraId="1F2E9197" w14:textId="5ECF9CF1" w:rsidR="00CF2C76" w:rsidRPr="00CF2C76" w:rsidRDefault="00CF2C76" w:rsidP="00383C55">
      <w:pPr>
        <w:pStyle w:val="EndnoteText"/>
        <w:jc w:val="both"/>
        <w:rPr>
          <w:rFonts w:ascii="Times New Roman" w:hAnsi="Times New Roman"/>
          <w:sz w:val="22"/>
          <w:szCs w:val="22"/>
        </w:rPr>
      </w:pPr>
      <w:r>
        <w:rPr>
          <w:rStyle w:val="EndnoteReference"/>
        </w:rPr>
        <w:endnoteRef/>
      </w:r>
      <w:r>
        <w:t xml:space="preserve"> </w:t>
      </w:r>
      <w:r w:rsidR="0098399F" w:rsidRPr="0098399F">
        <w:rPr>
          <w:rFonts w:ascii="Times New Roman" w:hAnsi="Times New Roman"/>
          <w:sz w:val="22"/>
          <w:szCs w:val="22"/>
        </w:rPr>
        <w:t>Khoản 12 Điều 1</w:t>
      </w:r>
      <w:r w:rsidR="0098399F">
        <w:rPr>
          <w:sz w:val="28"/>
          <w:szCs w:val="28"/>
        </w:rPr>
        <w:t xml:space="preserve"> </w:t>
      </w:r>
      <w:r w:rsidRPr="00CF2C76">
        <w:rPr>
          <w:rFonts w:ascii="Times New Roman" w:hAnsi="Times New Roman"/>
          <w:sz w:val="22"/>
          <w:szCs w:val="22"/>
        </w:rPr>
        <w:t>Nghị định số 107/2020/NĐ-CP ngày 14/9/2020 sửa đổi, bổ sung một số điều của Nghị định số 24/2014/NĐ-Cp ngày 04/4/2014 của Chính phủ quy định tổ chức các cơ quan chuyên môn thuộc UBND tỉnh, thành phố trực thuộc Trung ương</w:t>
      </w:r>
    </w:p>
  </w:endnote>
  <w:endnote w:id="14">
    <w:p w14:paraId="19BCFF55"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rStyle w:val="EndnoteReference"/>
          <w:sz w:val="22"/>
          <w:szCs w:val="22"/>
        </w:rPr>
        <w:endnoteRef/>
      </w:r>
      <w:r w:rsidRPr="00C8139A">
        <w:rPr>
          <w:sz w:val="22"/>
          <w:szCs w:val="22"/>
        </w:rPr>
        <w:t xml:space="preserve"> </w:t>
      </w:r>
      <w:bookmarkStart w:id="8" w:name="khoan_13_1"/>
      <w:r w:rsidRPr="00C8139A">
        <w:rPr>
          <w:sz w:val="22"/>
          <w:szCs w:val="22"/>
        </w:rPr>
        <w:t xml:space="preserve">Khoản </w:t>
      </w:r>
      <w:r w:rsidRPr="00C8139A">
        <w:rPr>
          <w:sz w:val="22"/>
          <w:szCs w:val="22"/>
          <w:lang w:val="vi-VN"/>
        </w:rPr>
        <w:t>13</w:t>
      </w:r>
      <w:r w:rsidRPr="00C8139A">
        <w:rPr>
          <w:sz w:val="22"/>
          <w:szCs w:val="22"/>
        </w:rPr>
        <w:t xml:space="preserve"> Điều 1 Nghị định 107. </w:t>
      </w:r>
      <w:r w:rsidRPr="00C8139A">
        <w:rPr>
          <w:sz w:val="22"/>
          <w:szCs w:val="22"/>
          <w:lang w:val="vi-VN"/>
        </w:rPr>
        <w:t>Sửa đổi, bổ sung</w:t>
      </w:r>
      <w:bookmarkEnd w:id="8"/>
      <w:r w:rsidRPr="00C8139A">
        <w:rPr>
          <w:sz w:val="22"/>
          <w:szCs w:val="22"/>
          <w:lang w:val="vi-VN"/>
        </w:rPr>
        <w:t> </w:t>
      </w:r>
      <w:bookmarkStart w:id="9" w:name="dc_13"/>
      <w:r w:rsidRPr="00C8139A">
        <w:rPr>
          <w:sz w:val="22"/>
          <w:szCs w:val="22"/>
          <w:lang w:val="vi-VN"/>
        </w:rPr>
        <w:t>Điều 12</w:t>
      </w:r>
      <w:bookmarkEnd w:id="9"/>
      <w:r w:rsidRPr="00C8139A">
        <w:rPr>
          <w:sz w:val="22"/>
          <w:szCs w:val="22"/>
          <w:lang w:val="vi-VN"/>
        </w:rPr>
        <w:t> </w:t>
      </w:r>
      <w:bookmarkStart w:id="10" w:name="khoan_13_1_name"/>
      <w:r w:rsidRPr="00C8139A">
        <w:rPr>
          <w:sz w:val="22"/>
          <w:szCs w:val="22"/>
          <w:lang w:val="vi-VN"/>
        </w:rPr>
        <w:t>như sau:</w:t>
      </w:r>
      <w:bookmarkEnd w:id="10"/>
    </w:p>
    <w:p w14:paraId="029C1AA0" w14:textId="77777777" w:rsidR="00DE659F" w:rsidRPr="00375D04" w:rsidRDefault="00DE659F" w:rsidP="00383C55">
      <w:pPr>
        <w:pStyle w:val="NormalWeb"/>
        <w:shd w:val="clear" w:color="auto" w:fill="FFFFFF"/>
        <w:spacing w:before="0" w:beforeAutospacing="0" w:after="0" w:afterAutospacing="0"/>
        <w:jc w:val="both"/>
        <w:rPr>
          <w:sz w:val="22"/>
          <w:szCs w:val="22"/>
        </w:rPr>
      </w:pPr>
      <w:r w:rsidRPr="00375D04">
        <w:rPr>
          <w:bCs/>
          <w:sz w:val="22"/>
          <w:szCs w:val="22"/>
          <w:lang w:val="vi-VN"/>
        </w:rPr>
        <w:t>“Điều 12. Ủy ban nhân dân cấp tỉnh</w:t>
      </w:r>
    </w:p>
    <w:p w14:paraId="39B62F30"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sz w:val="22"/>
          <w:szCs w:val="22"/>
          <w:lang w:val="vi-VN"/>
        </w:rPr>
        <w:t xml:space="preserve">1. Quy định cụ thể chức năng, nhiệm vụ, quyền hạn của sở </w:t>
      </w:r>
      <w:r w:rsidRPr="00C8139A">
        <w:rPr>
          <w:i/>
          <w:sz w:val="22"/>
          <w:szCs w:val="22"/>
          <w:lang w:val="vi-VN"/>
        </w:rPr>
        <w:t>phù hợp với hướng dẫn của Bộ quản lý ngành, lĩnh vự</w:t>
      </w:r>
      <w:r w:rsidRPr="00C8139A">
        <w:rPr>
          <w:sz w:val="22"/>
          <w:szCs w:val="22"/>
          <w:lang w:val="vi-VN"/>
        </w:rPr>
        <w:t>c; quyết định cơ cấu tổ chức, số lượng Phó Giám đốc của sở phù hợp với yêu cầu quản lý nhà nước về ngành, lĩnh vực ở địa phương và các tiêu chí quy định tại Nghị định này.</w:t>
      </w:r>
    </w:p>
    <w:p w14:paraId="1D3D0DB9"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sz w:val="22"/>
          <w:szCs w:val="22"/>
          <w:lang w:val="vi-VN"/>
        </w:rPr>
        <w:t xml:space="preserve">2. Quy định chức năng, nhiệm vụ, quyền hạn của chi cục thuộc sở </w:t>
      </w:r>
      <w:r w:rsidRPr="00C8139A">
        <w:rPr>
          <w:i/>
          <w:sz w:val="22"/>
          <w:szCs w:val="22"/>
          <w:lang w:val="vi-VN"/>
        </w:rPr>
        <w:t>phù hợp với hướng dẫn của bộ quản lý ngành, lĩnh vực;</w:t>
      </w:r>
      <w:r w:rsidRPr="00C8139A">
        <w:rPr>
          <w:sz w:val="22"/>
          <w:szCs w:val="22"/>
          <w:lang w:val="vi-VN"/>
        </w:rPr>
        <w:t xml:space="preserve"> quyết định việc thành lập chi cục thuộc sở và cơ cấu tổ chức của chi cục thuộc sở theo quy định tại Nghị định này.</w:t>
      </w:r>
    </w:p>
    <w:p w14:paraId="4A442F0C"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sz w:val="22"/>
          <w:szCs w:val="22"/>
          <w:lang w:val="vi-VN"/>
        </w:rPr>
        <w:t xml:space="preserve">3. Quyết định thành lập, tổ chức lại, giải thể đơn vị sự nghiệp công lập thuộc sở theo quy định của pháp luật, bảo đảm phù hợp với quy hoạch mạng lưới các đơn vị sự nghiệp công lập theo ngành, lĩnh vực được Thủ tướng Chính phủ phê duyệt, </w:t>
      </w:r>
      <w:r w:rsidRPr="00C8139A">
        <w:rPr>
          <w:i/>
          <w:sz w:val="22"/>
          <w:szCs w:val="22"/>
          <w:lang w:val="vi-VN"/>
        </w:rPr>
        <w:t>hướng dẫn của bộ quản lý ngành, lĩnh vực và Bộ Nội vụ</w:t>
      </w:r>
      <w:r w:rsidRPr="00C8139A">
        <w:rPr>
          <w:sz w:val="22"/>
          <w:szCs w:val="22"/>
          <w:lang w:val="vi-VN"/>
        </w:rPr>
        <w:t>.</w:t>
      </w:r>
    </w:p>
    <w:p w14:paraId="34CDCC15"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sz w:val="22"/>
          <w:szCs w:val="22"/>
          <w:lang w:val="vi-VN"/>
        </w:rPr>
        <w:t>4. Quyết định phân cấp cho Ủy ban nhân dân cấp huyện, phân cấp hoặc ủy quyền cho sở và Giám đốc sở thực hiện một hoặc một số nhiệm vụ, quyền hạn thuộc thẩm quyền của Ủy ban nhân dân cấp tỉnh theo quy định của pháp luật.</w:t>
      </w:r>
    </w:p>
  </w:endnote>
  <w:endnote w:id="15">
    <w:p w14:paraId="1AEAFC8F" w14:textId="77777777" w:rsidR="00DF5376" w:rsidRPr="00C424DF" w:rsidRDefault="00DF5376" w:rsidP="00383C55">
      <w:pPr>
        <w:pStyle w:val="EndnoteText"/>
        <w:rPr>
          <w:rFonts w:ascii="Times New Roman" w:hAnsi="Times New Roman"/>
          <w:sz w:val="22"/>
          <w:szCs w:val="22"/>
        </w:rPr>
      </w:pPr>
      <w:r>
        <w:rPr>
          <w:rStyle w:val="EndnoteReference"/>
        </w:rPr>
        <w:endnoteRef/>
      </w:r>
      <w:r>
        <w:t xml:space="preserve"> </w:t>
      </w:r>
      <w:r w:rsidRPr="00C424DF">
        <w:rPr>
          <w:rFonts w:ascii="Times New Roman" w:hAnsi="Times New Roman"/>
          <w:sz w:val="22"/>
          <w:szCs w:val="22"/>
        </w:rPr>
        <w:t xml:space="preserve">Thông báo số </w:t>
      </w:r>
      <w:r>
        <w:rPr>
          <w:rFonts w:ascii="Times New Roman" w:hAnsi="Times New Roman"/>
          <w:sz w:val="22"/>
          <w:szCs w:val="22"/>
        </w:rPr>
        <w:t>56/TB-VPCP ngày 14/2/2015.</w:t>
      </w:r>
    </w:p>
  </w:endnote>
  <w:endnote w:id="16">
    <w:p w14:paraId="60309AD4" w14:textId="5B4022C3" w:rsidR="008C6815" w:rsidRPr="008C6815" w:rsidRDefault="008C6815" w:rsidP="00383C55">
      <w:pPr>
        <w:pStyle w:val="EndnoteText"/>
        <w:jc w:val="both"/>
        <w:rPr>
          <w:rFonts w:ascii="Times New Roman" w:hAnsi="Times New Roman"/>
          <w:sz w:val="22"/>
          <w:szCs w:val="22"/>
        </w:rPr>
      </w:pPr>
      <w:r>
        <w:rPr>
          <w:rStyle w:val="EndnoteReference"/>
        </w:rPr>
        <w:endnoteRef/>
      </w:r>
      <w:r>
        <w:t xml:space="preserve"> </w:t>
      </w:r>
      <w:r w:rsidRPr="008C6815">
        <w:rPr>
          <w:rFonts w:ascii="Times New Roman" w:hAnsi="Times New Roman"/>
          <w:sz w:val="22"/>
          <w:szCs w:val="22"/>
        </w:rPr>
        <w:t>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endnote>
  <w:endnote w:id="17">
    <w:p w14:paraId="10000753" w14:textId="39725C38" w:rsidR="00DE659F" w:rsidRPr="00C8139A" w:rsidRDefault="00DE659F" w:rsidP="00383C55">
      <w:pPr>
        <w:pStyle w:val="EndnoteText"/>
        <w:jc w:val="both"/>
        <w:rPr>
          <w:rFonts w:ascii="Times New Roman" w:hAnsi="Times New Roman"/>
          <w:sz w:val="22"/>
          <w:szCs w:val="22"/>
          <w:lang w:val="en-GB"/>
        </w:rPr>
      </w:pPr>
      <w:r w:rsidRPr="00C8139A">
        <w:rPr>
          <w:rStyle w:val="EndnoteReference"/>
          <w:rFonts w:ascii="Times New Roman" w:hAnsi="Times New Roman"/>
          <w:sz w:val="22"/>
          <w:szCs w:val="22"/>
        </w:rPr>
        <w:endnoteRef/>
      </w:r>
      <w:r w:rsidRPr="00C8139A">
        <w:rPr>
          <w:rFonts w:ascii="Times New Roman" w:hAnsi="Times New Roman"/>
          <w:sz w:val="22"/>
          <w:szCs w:val="22"/>
        </w:rPr>
        <w:t xml:space="preserve"> </w:t>
      </w:r>
      <w:r w:rsidRPr="00C8139A">
        <w:rPr>
          <w:rFonts w:ascii="Times New Roman" w:hAnsi="Times New Roman"/>
          <w:sz w:val="22"/>
          <w:szCs w:val="22"/>
          <w:lang w:val="en-GB"/>
        </w:rPr>
        <w:t>Văn bản số 5693/BGDĐT-KHTC ngày 09/12/2021</w:t>
      </w:r>
      <w:r w:rsidR="00120758">
        <w:rPr>
          <w:rFonts w:ascii="Times New Roman" w:hAnsi="Times New Roman"/>
          <w:sz w:val="22"/>
          <w:szCs w:val="22"/>
          <w:lang w:val="en-GB"/>
        </w:rPr>
        <w:t xml:space="preserve">; </w:t>
      </w:r>
      <w:bookmarkStart w:id="13" w:name="_Hlk103261848"/>
      <w:r w:rsidR="00120758">
        <w:rPr>
          <w:rFonts w:ascii="Times New Roman" w:hAnsi="Times New Roman"/>
          <w:sz w:val="22"/>
          <w:szCs w:val="22"/>
          <w:lang w:val="en-GB"/>
        </w:rPr>
        <w:t>Văn bản số 1952/BGD&amp;ĐT-KHTC ngày 10/5/2022.</w:t>
      </w:r>
    </w:p>
    <w:bookmarkEnd w:id="13"/>
  </w:endnote>
  <w:endnote w:id="18">
    <w:p w14:paraId="6C25B9A4"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rStyle w:val="EndnoteReference"/>
          <w:sz w:val="22"/>
          <w:szCs w:val="22"/>
        </w:rPr>
        <w:endnoteRef/>
      </w:r>
      <w:r w:rsidRPr="00C8139A">
        <w:rPr>
          <w:sz w:val="22"/>
          <w:szCs w:val="22"/>
        </w:rPr>
        <w:t xml:space="preserve"> </w:t>
      </w:r>
      <w:r w:rsidRPr="00C8139A">
        <w:rPr>
          <w:bCs/>
          <w:sz w:val="22"/>
          <w:szCs w:val="22"/>
          <w:lang w:val="vi-VN"/>
        </w:rPr>
        <w:t>Điều 4. Quản lý nhà nước về giá dịch vụ trong lĩnh vực giáo dục, đào tạo</w:t>
      </w:r>
    </w:p>
    <w:p w14:paraId="7E4FB525"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sz w:val="22"/>
          <w:szCs w:val="22"/>
        </w:rPr>
        <w:t>1</w:t>
      </w:r>
      <w:r w:rsidRPr="00C8139A">
        <w:rPr>
          <w:b/>
          <w:sz w:val="22"/>
          <w:szCs w:val="22"/>
        </w:rPr>
        <w:t>. </w:t>
      </w:r>
      <w:r w:rsidRPr="001A4906">
        <w:rPr>
          <w:sz w:val="22"/>
          <w:szCs w:val="22"/>
          <w:lang w:val="vi-VN"/>
        </w:rPr>
        <w:t>Bộ Giáo dục và Đào tạo</w:t>
      </w:r>
      <w:r w:rsidRPr="00C8139A">
        <w:rPr>
          <w:sz w:val="22"/>
          <w:szCs w:val="22"/>
          <w:lang w:val="vi-VN"/>
        </w:rPr>
        <w:t>, Bộ Lao động - Thương binh và Xã hội chủ trì, phối hợp với Bộ Tài chính, các bộ, ngành liên quan thực hiện chức năng quản lý nhà nước đối với học phí, giá các dịch vụ khác trong lĩnh vực giáo dục, đào tạo:</w:t>
      </w:r>
    </w:p>
    <w:p w14:paraId="52E55449"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sz w:val="22"/>
          <w:szCs w:val="22"/>
        </w:rPr>
        <w:t>a) </w:t>
      </w:r>
      <w:r w:rsidRPr="00C8139A">
        <w:rPr>
          <w:sz w:val="22"/>
          <w:szCs w:val="22"/>
          <w:lang w:val="vi-VN"/>
        </w:rPr>
        <w:t>Hướng dẫn quy trình và xây dựng, thẩm định, ban hành định mức kinh tế - kỹ thuật, phương pháp xác định học phí, giá các dịch vụ khác trong lĩnh vực giáo dục, đào tạo áp dụng chung trong lĩnh vực giáo dục, đào tạo theo phân cấp quản lý;</w:t>
      </w:r>
    </w:p>
    <w:p w14:paraId="42DF5A7F" w14:textId="77777777" w:rsidR="00DE659F" w:rsidRPr="00C8139A" w:rsidRDefault="00DE659F" w:rsidP="00383C55">
      <w:pPr>
        <w:pStyle w:val="NormalWeb"/>
        <w:shd w:val="clear" w:color="auto" w:fill="FFFFFF"/>
        <w:spacing w:before="0" w:beforeAutospacing="0" w:after="0" w:afterAutospacing="0"/>
        <w:jc w:val="both"/>
        <w:rPr>
          <w:sz w:val="22"/>
          <w:szCs w:val="22"/>
          <w:lang w:val="vi-VN"/>
        </w:rPr>
      </w:pPr>
      <w:r w:rsidRPr="00C8139A">
        <w:rPr>
          <w:sz w:val="22"/>
          <w:szCs w:val="22"/>
        </w:rPr>
        <w:t>b) </w:t>
      </w:r>
      <w:r w:rsidRPr="00C8139A">
        <w:rPr>
          <w:sz w:val="22"/>
          <w:szCs w:val="22"/>
          <w:lang w:val="vi-VN"/>
        </w:rPr>
        <w:t>Quyết định phương thức giao nhiệm vụ, đặt hàng, đấu thầu cung cấp sản phẩm, dịch vụ trong lĩnh vực giáo dục, đào tạo thuộc danh mục dịch vụ công sử dụng ngân sách nhà nước từ nguồn ngân sách trung ương theo lĩnh vực quản lý được phân cấp; quyết định giá đặt hàng dịch vụ trong lĩnh vực giáo dục, đào tạo thuộc danh mục dịch vụ công sử dụng ngân sách trung ương theo phạm vi quản lý được phân cấp.</w:t>
      </w:r>
    </w:p>
    <w:p w14:paraId="0D9F9C25" w14:textId="77777777" w:rsidR="00DE659F" w:rsidRPr="00C8139A" w:rsidRDefault="00DE659F" w:rsidP="00383C55">
      <w:pPr>
        <w:pStyle w:val="NormalWeb"/>
        <w:shd w:val="clear" w:color="auto" w:fill="FFFFFF"/>
        <w:spacing w:before="0" w:beforeAutospacing="0" w:after="0" w:afterAutospacing="0"/>
        <w:jc w:val="both"/>
        <w:rPr>
          <w:sz w:val="22"/>
          <w:szCs w:val="22"/>
        </w:rPr>
      </w:pPr>
      <w:bookmarkStart w:id="16" w:name="dieu_31"/>
      <w:r w:rsidRPr="00C8139A">
        <w:rPr>
          <w:bCs/>
          <w:sz w:val="22"/>
          <w:szCs w:val="22"/>
          <w:lang w:val="vi-VN"/>
        </w:rPr>
        <w:t>Điều 31. Tổ chức thực hiện</w:t>
      </w:r>
      <w:bookmarkEnd w:id="16"/>
    </w:p>
    <w:p w14:paraId="3F360165"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sz w:val="22"/>
          <w:szCs w:val="22"/>
        </w:rPr>
        <w:t>1. </w:t>
      </w:r>
      <w:r w:rsidRPr="001A4906">
        <w:rPr>
          <w:sz w:val="22"/>
          <w:szCs w:val="22"/>
          <w:lang w:val="vi-VN"/>
        </w:rPr>
        <w:t>Bộ trưởng Bộ Giáo dục và Đào tạo</w:t>
      </w:r>
      <w:r w:rsidRPr="00C8139A">
        <w:rPr>
          <w:sz w:val="22"/>
          <w:szCs w:val="22"/>
          <w:lang w:val="vi-VN"/>
        </w:rPr>
        <w:t>, Bộ trưởng Bộ Lao động - Thương binh và Xã hội theo thẩm quyền chủ trì, phối hợp với các bộ, ngành liên quan hướng dẫn tổ chức thực hiện Nghị định này.</w:t>
      </w:r>
    </w:p>
  </w:endnote>
  <w:endnote w:id="19">
    <w:p w14:paraId="15E06440" w14:textId="77777777" w:rsidR="00DE659F" w:rsidRPr="00C8139A" w:rsidRDefault="00DE659F" w:rsidP="00383C55">
      <w:pPr>
        <w:pStyle w:val="EndnoteText"/>
        <w:jc w:val="both"/>
        <w:rPr>
          <w:rFonts w:ascii="Times New Roman" w:hAnsi="Times New Roman"/>
          <w:sz w:val="22"/>
          <w:szCs w:val="22"/>
        </w:rPr>
      </w:pPr>
      <w:r w:rsidRPr="00C8139A">
        <w:rPr>
          <w:rStyle w:val="EndnoteReference"/>
          <w:rFonts w:ascii="Times New Roman" w:hAnsi="Times New Roman"/>
          <w:sz w:val="22"/>
          <w:szCs w:val="22"/>
        </w:rPr>
        <w:endnoteRef/>
      </w:r>
      <w:r w:rsidRPr="00C8139A">
        <w:rPr>
          <w:rFonts w:ascii="Times New Roman" w:hAnsi="Times New Roman"/>
          <w:sz w:val="22"/>
          <w:szCs w:val="22"/>
        </w:rPr>
        <w:t xml:space="preserve"> Văn bản số 1306/BCT-KH ngày 15/3/2021.</w:t>
      </w:r>
    </w:p>
  </w:endnote>
  <w:endnote w:id="20">
    <w:p w14:paraId="5C729595" w14:textId="77777777" w:rsidR="00DE659F" w:rsidRPr="00C8139A" w:rsidRDefault="00DE659F" w:rsidP="00383C55">
      <w:pPr>
        <w:pStyle w:val="NormalWeb"/>
        <w:shd w:val="clear" w:color="auto" w:fill="FFFFFF"/>
        <w:spacing w:before="0" w:beforeAutospacing="0" w:after="0" w:afterAutospacing="0"/>
        <w:jc w:val="both"/>
        <w:rPr>
          <w:sz w:val="22"/>
          <w:szCs w:val="22"/>
        </w:rPr>
      </w:pPr>
      <w:r w:rsidRPr="00C8139A">
        <w:rPr>
          <w:rStyle w:val="EndnoteReference"/>
          <w:sz w:val="22"/>
          <w:szCs w:val="22"/>
        </w:rPr>
        <w:endnoteRef/>
      </w:r>
      <w:r w:rsidRPr="00C8139A">
        <w:rPr>
          <w:sz w:val="22"/>
          <w:szCs w:val="22"/>
        </w:rPr>
        <w:t xml:space="preserve"> Quyết định số 878/QĐ-TTg ngày 18/7/2018 của Thủ tướng Chính phủ về Quy trình vận hành liên hồ chứa trên lưu vực sông Ba Hạ.</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6655" w14:textId="77777777" w:rsidR="005C27A3" w:rsidRPr="009A2769" w:rsidRDefault="002834B5" w:rsidP="00D16F3B">
    <w:pPr>
      <w:pStyle w:val="Footer"/>
      <w:framePr w:wrap="auto" w:vAnchor="text" w:hAnchor="margin" w:xAlign="center" w:y="1"/>
      <w:rPr>
        <w:rStyle w:val="PageNumber"/>
        <w:rFonts w:ascii="Times New Roman" w:hAnsi="Times New Roman"/>
      </w:rPr>
    </w:pPr>
    <w:r w:rsidRPr="009A2769">
      <w:rPr>
        <w:rStyle w:val="PageNumber"/>
        <w:rFonts w:ascii="Times New Roman" w:hAnsi="Times New Roman"/>
      </w:rPr>
      <w:fldChar w:fldCharType="begin"/>
    </w:r>
    <w:r w:rsidRPr="009A2769">
      <w:rPr>
        <w:rStyle w:val="PageNumber"/>
        <w:rFonts w:ascii="Times New Roman" w:hAnsi="Times New Roman"/>
      </w:rPr>
      <w:instrText xml:space="preserve">PAGE  </w:instrText>
    </w:r>
    <w:r w:rsidRPr="009A2769">
      <w:rPr>
        <w:rStyle w:val="PageNumber"/>
        <w:rFonts w:ascii="Times New Roman" w:hAnsi="Times New Roman"/>
      </w:rPr>
      <w:fldChar w:fldCharType="separate"/>
    </w:r>
    <w:r w:rsidR="00FB52C2">
      <w:rPr>
        <w:rStyle w:val="PageNumber"/>
        <w:rFonts w:ascii="Times New Roman" w:hAnsi="Times New Roman"/>
        <w:noProof/>
      </w:rPr>
      <w:t>1</w:t>
    </w:r>
    <w:r w:rsidRPr="009A2769">
      <w:rPr>
        <w:rStyle w:val="PageNumber"/>
        <w:rFonts w:ascii="Times New Roman" w:hAnsi="Times New Roman"/>
      </w:rPr>
      <w:fldChar w:fldCharType="end"/>
    </w:r>
  </w:p>
  <w:p w14:paraId="6FB18732" w14:textId="77777777" w:rsidR="005C27A3" w:rsidRPr="009A2769" w:rsidRDefault="00381300">
    <w:pPr>
      <w:pStyle w:val="Footer"/>
      <w:jc w:val="center"/>
      <w:rPr>
        <w:rFonts w:ascii="Times New Roman" w:hAnsi="Times New Roman"/>
      </w:rPr>
    </w:pPr>
  </w:p>
  <w:p w14:paraId="089C6B79" w14:textId="77777777" w:rsidR="005C27A3" w:rsidRPr="009A2769" w:rsidRDefault="00381300">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27F7C" w14:textId="77777777" w:rsidR="00381300" w:rsidRDefault="00381300" w:rsidP="004C52B4">
      <w:pPr>
        <w:spacing w:after="0" w:line="240" w:lineRule="auto"/>
      </w:pPr>
      <w:r>
        <w:separator/>
      </w:r>
    </w:p>
  </w:footnote>
  <w:footnote w:type="continuationSeparator" w:id="0">
    <w:p w14:paraId="7A40385C" w14:textId="77777777" w:rsidR="00381300" w:rsidRDefault="00381300" w:rsidP="004C5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15654"/>
    <w:multiLevelType w:val="hybridMultilevel"/>
    <w:tmpl w:val="5D502B5C"/>
    <w:lvl w:ilvl="0" w:tplc="19DED888">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6CD2267"/>
    <w:multiLevelType w:val="hybridMultilevel"/>
    <w:tmpl w:val="328C9750"/>
    <w:lvl w:ilvl="0" w:tplc="BB1EFC8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85D7B14"/>
    <w:multiLevelType w:val="hybridMultilevel"/>
    <w:tmpl w:val="340AB51E"/>
    <w:lvl w:ilvl="0" w:tplc="A23C6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B4"/>
    <w:rsid w:val="000033E8"/>
    <w:rsid w:val="0000392E"/>
    <w:rsid w:val="0000713F"/>
    <w:rsid w:val="00011A94"/>
    <w:rsid w:val="000166A1"/>
    <w:rsid w:val="00021292"/>
    <w:rsid w:val="00033412"/>
    <w:rsid w:val="00034F72"/>
    <w:rsid w:val="00046215"/>
    <w:rsid w:val="000462AF"/>
    <w:rsid w:val="00057BFB"/>
    <w:rsid w:val="000747FA"/>
    <w:rsid w:val="0008076E"/>
    <w:rsid w:val="00080BD9"/>
    <w:rsid w:val="00080C64"/>
    <w:rsid w:val="0008527A"/>
    <w:rsid w:val="00092395"/>
    <w:rsid w:val="00092B33"/>
    <w:rsid w:val="00096571"/>
    <w:rsid w:val="000A3C05"/>
    <w:rsid w:val="000A5CC3"/>
    <w:rsid w:val="000A60BE"/>
    <w:rsid w:val="000B1FFC"/>
    <w:rsid w:val="000B36D9"/>
    <w:rsid w:val="000B41FB"/>
    <w:rsid w:val="000B4311"/>
    <w:rsid w:val="000C1501"/>
    <w:rsid w:val="000C32C4"/>
    <w:rsid w:val="000C7FD9"/>
    <w:rsid w:val="000D5AD5"/>
    <w:rsid w:val="000E25CA"/>
    <w:rsid w:val="000F083D"/>
    <w:rsid w:val="00102702"/>
    <w:rsid w:val="001028DC"/>
    <w:rsid w:val="00107F60"/>
    <w:rsid w:val="00111E6D"/>
    <w:rsid w:val="00120758"/>
    <w:rsid w:val="0013661B"/>
    <w:rsid w:val="00141935"/>
    <w:rsid w:val="0015156F"/>
    <w:rsid w:val="00154208"/>
    <w:rsid w:val="00156D31"/>
    <w:rsid w:val="00161314"/>
    <w:rsid w:val="00173C1D"/>
    <w:rsid w:val="00183AD1"/>
    <w:rsid w:val="00191D08"/>
    <w:rsid w:val="0019319E"/>
    <w:rsid w:val="00195EAA"/>
    <w:rsid w:val="001A10D8"/>
    <w:rsid w:val="001A4906"/>
    <w:rsid w:val="001B2964"/>
    <w:rsid w:val="001C232B"/>
    <w:rsid w:val="001C35EF"/>
    <w:rsid w:val="001C3A6E"/>
    <w:rsid w:val="001C5304"/>
    <w:rsid w:val="001C6898"/>
    <w:rsid w:val="001D6F4D"/>
    <w:rsid w:val="001E06A0"/>
    <w:rsid w:val="001E2FA5"/>
    <w:rsid w:val="001E2FE8"/>
    <w:rsid w:val="001E73B7"/>
    <w:rsid w:val="001E7BB7"/>
    <w:rsid w:val="00200399"/>
    <w:rsid w:val="00200F06"/>
    <w:rsid w:val="00207924"/>
    <w:rsid w:val="00207A2E"/>
    <w:rsid w:val="00210995"/>
    <w:rsid w:val="00211C16"/>
    <w:rsid w:val="00222293"/>
    <w:rsid w:val="00224C17"/>
    <w:rsid w:val="00225E22"/>
    <w:rsid w:val="00234BAE"/>
    <w:rsid w:val="00235E81"/>
    <w:rsid w:val="002368DE"/>
    <w:rsid w:val="00237AF0"/>
    <w:rsid w:val="0024189B"/>
    <w:rsid w:val="002419B1"/>
    <w:rsid w:val="00243BD7"/>
    <w:rsid w:val="0024686D"/>
    <w:rsid w:val="00247CBC"/>
    <w:rsid w:val="00265035"/>
    <w:rsid w:val="00270DF0"/>
    <w:rsid w:val="0027749E"/>
    <w:rsid w:val="0027752E"/>
    <w:rsid w:val="002834B5"/>
    <w:rsid w:val="00284527"/>
    <w:rsid w:val="00285183"/>
    <w:rsid w:val="00287D17"/>
    <w:rsid w:val="00293D0A"/>
    <w:rsid w:val="00294D4B"/>
    <w:rsid w:val="0029628C"/>
    <w:rsid w:val="002A0CE9"/>
    <w:rsid w:val="002A1ED4"/>
    <w:rsid w:val="002A2D6E"/>
    <w:rsid w:val="002C3A7D"/>
    <w:rsid w:val="002C4FBD"/>
    <w:rsid w:val="002D0D8A"/>
    <w:rsid w:val="002D7D0F"/>
    <w:rsid w:val="002E3DD0"/>
    <w:rsid w:val="002E7F90"/>
    <w:rsid w:val="002F0FB0"/>
    <w:rsid w:val="00310DBF"/>
    <w:rsid w:val="00311D6F"/>
    <w:rsid w:val="00312D8F"/>
    <w:rsid w:val="00313F70"/>
    <w:rsid w:val="00313F85"/>
    <w:rsid w:val="00316D3C"/>
    <w:rsid w:val="00327685"/>
    <w:rsid w:val="003314FE"/>
    <w:rsid w:val="0033412F"/>
    <w:rsid w:val="00334B0D"/>
    <w:rsid w:val="00340DCB"/>
    <w:rsid w:val="0034318D"/>
    <w:rsid w:val="003453C0"/>
    <w:rsid w:val="00351FB7"/>
    <w:rsid w:val="0035322A"/>
    <w:rsid w:val="003572AA"/>
    <w:rsid w:val="00361015"/>
    <w:rsid w:val="0036293D"/>
    <w:rsid w:val="003736D1"/>
    <w:rsid w:val="00375D04"/>
    <w:rsid w:val="00377D25"/>
    <w:rsid w:val="00381300"/>
    <w:rsid w:val="00383C55"/>
    <w:rsid w:val="00393EAB"/>
    <w:rsid w:val="00395F13"/>
    <w:rsid w:val="003B0377"/>
    <w:rsid w:val="003B2214"/>
    <w:rsid w:val="003C2641"/>
    <w:rsid w:val="003D6BC3"/>
    <w:rsid w:val="003E0E5D"/>
    <w:rsid w:val="003E14BC"/>
    <w:rsid w:val="003E157E"/>
    <w:rsid w:val="003E325B"/>
    <w:rsid w:val="003E3FC2"/>
    <w:rsid w:val="003E5546"/>
    <w:rsid w:val="003F5F13"/>
    <w:rsid w:val="00422958"/>
    <w:rsid w:val="00425F56"/>
    <w:rsid w:val="00435222"/>
    <w:rsid w:val="0044021F"/>
    <w:rsid w:val="00445765"/>
    <w:rsid w:val="0045791C"/>
    <w:rsid w:val="00465669"/>
    <w:rsid w:val="00466DD7"/>
    <w:rsid w:val="00466E18"/>
    <w:rsid w:val="00470186"/>
    <w:rsid w:val="0047057E"/>
    <w:rsid w:val="004777E9"/>
    <w:rsid w:val="00483F80"/>
    <w:rsid w:val="00494EE2"/>
    <w:rsid w:val="004A0408"/>
    <w:rsid w:val="004A06A3"/>
    <w:rsid w:val="004A1DB4"/>
    <w:rsid w:val="004A36CE"/>
    <w:rsid w:val="004A568E"/>
    <w:rsid w:val="004B2FB6"/>
    <w:rsid w:val="004B542F"/>
    <w:rsid w:val="004C33F7"/>
    <w:rsid w:val="004C52B4"/>
    <w:rsid w:val="004C665F"/>
    <w:rsid w:val="004D70FA"/>
    <w:rsid w:val="004D7E98"/>
    <w:rsid w:val="004E4158"/>
    <w:rsid w:val="004E544E"/>
    <w:rsid w:val="004E57DF"/>
    <w:rsid w:val="004F109D"/>
    <w:rsid w:val="004F532E"/>
    <w:rsid w:val="004F7D46"/>
    <w:rsid w:val="0050026D"/>
    <w:rsid w:val="00507EEB"/>
    <w:rsid w:val="00510F70"/>
    <w:rsid w:val="00516C70"/>
    <w:rsid w:val="00516DB4"/>
    <w:rsid w:val="00521EC1"/>
    <w:rsid w:val="00522814"/>
    <w:rsid w:val="00522F6E"/>
    <w:rsid w:val="005261F9"/>
    <w:rsid w:val="00526397"/>
    <w:rsid w:val="005273DF"/>
    <w:rsid w:val="00531C8A"/>
    <w:rsid w:val="00534ACF"/>
    <w:rsid w:val="005532E1"/>
    <w:rsid w:val="0055331D"/>
    <w:rsid w:val="00557AA6"/>
    <w:rsid w:val="00565B5A"/>
    <w:rsid w:val="00571A49"/>
    <w:rsid w:val="005852EA"/>
    <w:rsid w:val="00586179"/>
    <w:rsid w:val="0059394C"/>
    <w:rsid w:val="00595AFE"/>
    <w:rsid w:val="005A1347"/>
    <w:rsid w:val="005A5843"/>
    <w:rsid w:val="005B770D"/>
    <w:rsid w:val="005C2A7A"/>
    <w:rsid w:val="005D2160"/>
    <w:rsid w:val="005D5593"/>
    <w:rsid w:val="005D7C5F"/>
    <w:rsid w:val="005E0EF0"/>
    <w:rsid w:val="005E52D9"/>
    <w:rsid w:val="005F23EC"/>
    <w:rsid w:val="005F25AC"/>
    <w:rsid w:val="005F5098"/>
    <w:rsid w:val="005F6B54"/>
    <w:rsid w:val="00601F89"/>
    <w:rsid w:val="00606007"/>
    <w:rsid w:val="0062360B"/>
    <w:rsid w:val="00627F2D"/>
    <w:rsid w:val="00635AE4"/>
    <w:rsid w:val="00644FCD"/>
    <w:rsid w:val="00645DB8"/>
    <w:rsid w:val="006502BE"/>
    <w:rsid w:val="00653A58"/>
    <w:rsid w:val="00654200"/>
    <w:rsid w:val="00657367"/>
    <w:rsid w:val="00664936"/>
    <w:rsid w:val="00665B97"/>
    <w:rsid w:val="006666E6"/>
    <w:rsid w:val="006671D9"/>
    <w:rsid w:val="00667A88"/>
    <w:rsid w:val="00674732"/>
    <w:rsid w:val="00674BD2"/>
    <w:rsid w:val="006758BF"/>
    <w:rsid w:val="00680048"/>
    <w:rsid w:val="0068013C"/>
    <w:rsid w:val="006803BE"/>
    <w:rsid w:val="00681421"/>
    <w:rsid w:val="0068222B"/>
    <w:rsid w:val="0068529C"/>
    <w:rsid w:val="006875F8"/>
    <w:rsid w:val="00690BC3"/>
    <w:rsid w:val="00693D8F"/>
    <w:rsid w:val="006A0CE0"/>
    <w:rsid w:val="006A6F65"/>
    <w:rsid w:val="006B00A5"/>
    <w:rsid w:val="006B1EFA"/>
    <w:rsid w:val="006C2921"/>
    <w:rsid w:val="006C2D9F"/>
    <w:rsid w:val="006D0AAD"/>
    <w:rsid w:val="006E036F"/>
    <w:rsid w:val="006E29B8"/>
    <w:rsid w:val="006F0D04"/>
    <w:rsid w:val="006F2E8A"/>
    <w:rsid w:val="006F580A"/>
    <w:rsid w:val="007035D2"/>
    <w:rsid w:val="0071353D"/>
    <w:rsid w:val="007238FD"/>
    <w:rsid w:val="00730258"/>
    <w:rsid w:val="00732372"/>
    <w:rsid w:val="00733943"/>
    <w:rsid w:val="007368AE"/>
    <w:rsid w:val="00741B0B"/>
    <w:rsid w:val="00743B34"/>
    <w:rsid w:val="007521AF"/>
    <w:rsid w:val="00762504"/>
    <w:rsid w:val="007672F2"/>
    <w:rsid w:val="00770296"/>
    <w:rsid w:val="00771058"/>
    <w:rsid w:val="00774D56"/>
    <w:rsid w:val="00777A83"/>
    <w:rsid w:val="00780A04"/>
    <w:rsid w:val="0078106F"/>
    <w:rsid w:val="00797A60"/>
    <w:rsid w:val="007A0A23"/>
    <w:rsid w:val="007B293C"/>
    <w:rsid w:val="007C262B"/>
    <w:rsid w:val="007D0482"/>
    <w:rsid w:val="007D0FF5"/>
    <w:rsid w:val="007D2FFC"/>
    <w:rsid w:val="007D551D"/>
    <w:rsid w:val="007D6055"/>
    <w:rsid w:val="007D71B4"/>
    <w:rsid w:val="007D71CA"/>
    <w:rsid w:val="007E3754"/>
    <w:rsid w:val="007E4720"/>
    <w:rsid w:val="007F1DEF"/>
    <w:rsid w:val="007F273F"/>
    <w:rsid w:val="007F65D7"/>
    <w:rsid w:val="00800AFA"/>
    <w:rsid w:val="00806CA3"/>
    <w:rsid w:val="008207B0"/>
    <w:rsid w:val="00825623"/>
    <w:rsid w:val="008346CD"/>
    <w:rsid w:val="00835B55"/>
    <w:rsid w:val="00836FE4"/>
    <w:rsid w:val="008370D2"/>
    <w:rsid w:val="0084160B"/>
    <w:rsid w:val="00844228"/>
    <w:rsid w:val="00851F97"/>
    <w:rsid w:val="00855C1B"/>
    <w:rsid w:val="008652CD"/>
    <w:rsid w:val="008678A3"/>
    <w:rsid w:val="00893904"/>
    <w:rsid w:val="00897B48"/>
    <w:rsid w:val="008A23C7"/>
    <w:rsid w:val="008B095E"/>
    <w:rsid w:val="008B37E4"/>
    <w:rsid w:val="008B7C86"/>
    <w:rsid w:val="008C36D5"/>
    <w:rsid w:val="008C6815"/>
    <w:rsid w:val="008C6A05"/>
    <w:rsid w:val="008C7877"/>
    <w:rsid w:val="008D01BD"/>
    <w:rsid w:val="008D45E8"/>
    <w:rsid w:val="008E6D2A"/>
    <w:rsid w:val="008F4DCF"/>
    <w:rsid w:val="008F611B"/>
    <w:rsid w:val="009001A3"/>
    <w:rsid w:val="00900341"/>
    <w:rsid w:val="009108E7"/>
    <w:rsid w:val="0091240E"/>
    <w:rsid w:val="00914B9B"/>
    <w:rsid w:val="00915BCC"/>
    <w:rsid w:val="00916CDC"/>
    <w:rsid w:val="00926DB4"/>
    <w:rsid w:val="0093393B"/>
    <w:rsid w:val="00934027"/>
    <w:rsid w:val="009378DD"/>
    <w:rsid w:val="009378E4"/>
    <w:rsid w:val="00937C22"/>
    <w:rsid w:val="0094591E"/>
    <w:rsid w:val="009466CD"/>
    <w:rsid w:val="009552F0"/>
    <w:rsid w:val="0096267B"/>
    <w:rsid w:val="00962744"/>
    <w:rsid w:val="0096471F"/>
    <w:rsid w:val="00965A7F"/>
    <w:rsid w:val="00966AD8"/>
    <w:rsid w:val="00974FE7"/>
    <w:rsid w:val="00976A81"/>
    <w:rsid w:val="00980772"/>
    <w:rsid w:val="0098399F"/>
    <w:rsid w:val="00983CE4"/>
    <w:rsid w:val="00984402"/>
    <w:rsid w:val="00985032"/>
    <w:rsid w:val="00994AC4"/>
    <w:rsid w:val="00996EA5"/>
    <w:rsid w:val="00997542"/>
    <w:rsid w:val="009977B3"/>
    <w:rsid w:val="009A19F6"/>
    <w:rsid w:val="009A5FA2"/>
    <w:rsid w:val="009B241F"/>
    <w:rsid w:val="009B525B"/>
    <w:rsid w:val="009E31A5"/>
    <w:rsid w:val="009E4F32"/>
    <w:rsid w:val="009F6489"/>
    <w:rsid w:val="009F77B2"/>
    <w:rsid w:val="00A02E0C"/>
    <w:rsid w:val="00A0395E"/>
    <w:rsid w:val="00A04028"/>
    <w:rsid w:val="00A06326"/>
    <w:rsid w:val="00A12EA7"/>
    <w:rsid w:val="00A23DF2"/>
    <w:rsid w:val="00A2659F"/>
    <w:rsid w:val="00A30461"/>
    <w:rsid w:val="00A3071B"/>
    <w:rsid w:val="00A307B3"/>
    <w:rsid w:val="00A32523"/>
    <w:rsid w:val="00A32C3F"/>
    <w:rsid w:val="00A357E2"/>
    <w:rsid w:val="00A35E9E"/>
    <w:rsid w:val="00A35EB1"/>
    <w:rsid w:val="00A44D62"/>
    <w:rsid w:val="00A51313"/>
    <w:rsid w:val="00A560B5"/>
    <w:rsid w:val="00A61AC7"/>
    <w:rsid w:val="00A65490"/>
    <w:rsid w:val="00A77FEC"/>
    <w:rsid w:val="00A812EF"/>
    <w:rsid w:val="00A8274F"/>
    <w:rsid w:val="00A82805"/>
    <w:rsid w:val="00A84007"/>
    <w:rsid w:val="00A85438"/>
    <w:rsid w:val="00A86A7A"/>
    <w:rsid w:val="00A87720"/>
    <w:rsid w:val="00A927DB"/>
    <w:rsid w:val="00A944A4"/>
    <w:rsid w:val="00A95EDF"/>
    <w:rsid w:val="00A96092"/>
    <w:rsid w:val="00AB05A2"/>
    <w:rsid w:val="00AB3830"/>
    <w:rsid w:val="00AB5EAA"/>
    <w:rsid w:val="00AC15B4"/>
    <w:rsid w:val="00AC7192"/>
    <w:rsid w:val="00AD1B7A"/>
    <w:rsid w:val="00AD1C5A"/>
    <w:rsid w:val="00AD5A3B"/>
    <w:rsid w:val="00AE22AF"/>
    <w:rsid w:val="00AE30B3"/>
    <w:rsid w:val="00AE3B5E"/>
    <w:rsid w:val="00AE578D"/>
    <w:rsid w:val="00AE71FD"/>
    <w:rsid w:val="00B01BB1"/>
    <w:rsid w:val="00B10D50"/>
    <w:rsid w:val="00B12417"/>
    <w:rsid w:val="00B133D9"/>
    <w:rsid w:val="00B137BC"/>
    <w:rsid w:val="00B146F8"/>
    <w:rsid w:val="00B159BE"/>
    <w:rsid w:val="00B22980"/>
    <w:rsid w:val="00B31F94"/>
    <w:rsid w:val="00B32E30"/>
    <w:rsid w:val="00B50A3B"/>
    <w:rsid w:val="00B64125"/>
    <w:rsid w:val="00B676F4"/>
    <w:rsid w:val="00B72158"/>
    <w:rsid w:val="00B7593F"/>
    <w:rsid w:val="00B76B19"/>
    <w:rsid w:val="00B818B7"/>
    <w:rsid w:val="00B82D85"/>
    <w:rsid w:val="00B82F20"/>
    <w:rsid w:val="00BA0E48"/>
    <w:rsid w:val="00BA7DDD"/>
    <w:rsid w:val="00BB3812"/>
    <w:rsid w:val="00BB4C56"/>
    <w:rsid w:val="00BB70FF"/>
    <w:rsid w:val="00BC037D"/>
    <w:rsid w:val="00BC0C0C"/>
    <w:rsid w:val="00BD2BDC"/>
    <w:rsid w:val="00BE09F7"/>
    <w:rsid w:val="00BE54D9"/>
    <w:rsid w:val="00BE793D"/>
    <w:rsid w:val="00BF66D2"/>
    <w:rsid w:val="00C01F2F"/>
    <w:rsid w:val="00C03EAD"/>
    <w:rsid w:val="00C05E7B"/>
    <w:rsid w:val="00C06247"/>
    <w:rsid w:val="00C07DAA"/>
    <w:rsid w:val="00C10E37"/>
    <w:rsid w:val="00C12904"/>
    <w:rsid w:val="00C12DD9"/>
    <w:rsid w:val="00C141D5"/>
    <w:rsid w:val="00C144D1"/>
    <w:rsid w:val="00C22A4D"/>
    <w:rsid w:val="00C31D4C"/>
    <w:rsid w:val="00C32F69"/>
    <w:rsid w:val="00C37CCA"/>
    <w:rsid w:val="00C37DFC"/>
    <w:rsid w:val="00C444AC"/>
    <w:rsid w:val="00C46B73"/>
    <w:rsid w:val="00C5446F"/>
    <w:rsid w:val="00C63F6D"/>
    <w:rsid w:val="00C72C35"/>
    <w:rsid w:val="00C81214"/>
    <w:rsid w:val="00C818E8"/>
    <w:rsid w:val="00C8351B"/>
    <w:rsid w:val="00C875CE"/>
    <w:rsid w:val="00C93279"/>
    <w:rsid w:val="00C96728"/>
    <w:rsid w:val="00CA1E15"/>
    <w:rsid w:val="00CA3C63"/>
    <w:rsid w:val="00CA4599"/>
    <w:rsid w:val="00CA50C0"/>
    <w:rsid w:val="00CA5149"/>
    <w:rsid w:val="00CA6698"/>
    <w:rsid w:val="00CB14EF"/>
    <w:rsid w:val="00CB6B41"/>
    <w:rsid w:val="00CC04D3"/>
    <w:rsid w:val="00CC0E2C"/>
    <w:rsid w:val="00CD04D5"/>
    <w:rsid w:val="00CD544A"/>
    <w:rsid w:val="00CE0A6E"/>
    <w:rsid w:val="00CE235C"/>
    <w:rsid w:val="00CE738B"/>
    <w:rsid w:val="00CF1690"/>
    <w:rsid w:val="00CF2920"/>
    <w:rsid w:val="00CF2C76"/>
    <w:rsid w:val="00D002E4"/>
    <w:rsid w:val="00D17AA1"/>
    <w:rsid w:val="00D2534F"/>
    <w:rsid w:val="00D362D0"/>
    <w:rsid w:val="00D36DF3"/>
    <w:rsid w:val="00D5068C"/>
    <w:rsid w:val="00D52792"/>
    <w:rsid w:val="00D6058A"/>
    <w:rsid w:val="00D66A18"/>
    <w:rsid w:val="00D72CC4"/>
    <w:rsid w:val="00D7316B"/>
    <w:rsid w:val="00D76FE9"/>
    <w:rsid w:val="00D81AC6"/>
    <w:rsid w:val="00D84142"/>
    <w:rsid w:val="00D84766"/>
    <w:rsid w:val="00D86C7D"/>
    <w:rsid w:val="00D904A2"/>
    <w:rsid w:val="00D95D09"/>
    <w:rsid w:val="00DA08FC"/>
    <w:rsid w:val="00DA12F6"/>
    <w:rsid w:val="00DA2815"/>
    <w:rsid w:val="00DA2BAD"/>
    <w:rsid w:val="00DA4093"/>
    <w:rsid w:val="00DB53ED"/>
    <w:rsid w:val="00DB69AB"/>
    <w:rsid w:val="00DB79FC"/>
    <w:rsid w:val="00DC52D0"/>
    <w:rsid w:val="00DC57C9"/>
    <w:rsid w:val="00DD22B5"/>
    <w:rsid w:val="00DE657E"/>
    <w:rsid w:val="00DE659F"/>
    <w:rsid w:val="00DF1D2B"/>
    <w:rsid w:val="00DF5376"/>
    <w:rsid w:val="00DF6F3E"/>
    <w:rsid w:val="00E11230"/>
    <w:rsid w:val="00E13615"/>
    <w:rsid w:val="00E136AC"/>
    <w:rsid w:val="00E137E6"/>
    <w:rsid w:val="00E14B1C"/>
    <w:rsid w:val="00E24F52"/>
    <w:rsid w:val="00E32903"/>
    <w:rsid w:val="00E36FC0"/>
    <w:rsid w:val="00E37633"/>
    <w:rsid w:val="00E37BA2"/>
    <w:rsid w:val="00E41917"/>
    <w:rsid w:val="00E46EB9"/>
    <w:rsid w:val="00E565EC"/>
    <w:rsid w:val="00E604A8"/>
    <w:rsid w:val="00E60C9E"/>
    <w:rsid w:val="00E643DA"/>
    <w:rsid w:val="00E77458"/>
    <w:rsid w:val="00E832F0"/>
    <w:rsid w:val="00E864C6"/>
    <w:rsid w:val="00EA03C1"/>
    <w:rsid w:val="00EA458D"/>
    <w:rsid w:val="00EA7794"/>
    <w:rsid w:val="00EB6FEC"/>
    <w:rsid w:val="00EC0F37"/>
    <w:rsid w:val="00EC1FA5"/>
    <w:rsid w:val="00ED59AE"/>
    <w:rsid w:val="00EE0E8B"/>
    <w:rsid w:val="00EF42C9"/>
    <w:rsid w:val="00F123D6"/>
    <w:rsid w:val="00F17B63"/>
    <w:rsid w:val="00F21A23"/>
    <w:rsid w:val="00F21C7F"/>
    <w:rsid w:val="00F2369B"/>
    <w:rsid w:val="00F33B2A"/>
    <w:rsid w:val="00F3427E"/>
    <w:rsid w:val="00F34596"/>
    <w:rsid w:val="00F40B95"/>
    <w:rsid w:val="00F50371"/>
    <w:rsid w:val="00F51856"/>
    <w:rsid w:val="00F561A9"/>
    <w:rsid w:val="00F6220D"/>
    <w:rsid w:val="00F6297C"/>
    <w:rsid w:val="00F65486"/>
    <w:rsid w:val="00F66628"/>
    <w:rsid w:val="00F7271C"/>
    <w:rsid w:val="00F74E3F"/>
    <w:rsid w:val="00F775FE"/>
    <w:rsid w:val="00F8025D"/>
    <w:rsid w:val="00F90C2F"/>
    <w:rsid w:val="00F9501D"/>
    <w:rsid w:val="00FA3C3F"/>
    <w:rsid w:val="00FA3ECF"/>
    <w:rsid w:val="00FB07C6"/>
    <w:rsid w:val="00FB51E5"/>
    <w:rsid w:val="00FB52C2"/>
    <w:rsid w:val="00FB6846"/>
    <w:rsid w:val="00FB6E93"/>
    <w:rsid w:val="00FC2790"/>
    <w:rsid w:val="00FD1A89"/>
    <w:rsid w:val="00FD3E18"/>
    <w:rsid w:val="00FD7FCD"/>
    <w:rsid w:val="00FE0E11"/>
    <w:rsid w:val="00FE184D"/>
    <w:rsid w:val="00FE4ED4"/>
    <w:rsid w:val="00FF0E1F"/>
    <w:rsid w:val="00FF2B2B"/>
    <w:rsid w:val="00FF465C"/>
    <w:rsid w:val="00FF5DE4"/>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954C"/>
  <w15:docId w15:val="{1D00A6F9-D121-477C-989F-D483523E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52B4"/>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4C52B4"/>
    <w:rPr>
      <w:rFonts w:ascii="Calibri" w:eastAsia="Calibri" w:hAnsi="Calibri" w:cs="Times New Roman"/>
      <w:sz w:val="20"/>
      <w:szCs w:val="20"/>
    </w:rPr>
  </w:style>
  <w:style w:type="character" w:styleId="PageNumber">
    <w:name w:val="page number"/>
    <w:basedOn w:val="DefaultParagraphFont"/>
    <w:rsid w:val="004C52B4"/>
  </w:style>
  <w:style w:type="paragraph" w:styleId="EndnoteText">
    <w:name w:val="endnote text"/>
    <w:basedOn w:val="Normal"/>
    <w:link w:val="EndnoteTextChar1"/>
    <w:semiHidden/>
    <w:rsid w:val="004C52B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uiPriority w:val="99"/>
    <w:semiHidden/>
    <w:rsid w:val="004C52B4"/>
    <w:rPr>
      <w:sz w:val="20"/>
      <w:szCs w:val="20"/>
    </w:rPr>
  </w:style>
  <w:style w:type="character" w:customStyle="1" w:styleId="EndnoteTextChar1">
    <w:name w:val="Endnote Text Char1"/>
    <w:link w:val="EndnoteText"/>
    <w:semiHidden/>
    <w:locked/>
    <w:rsid w:val="004C52B4"/>
    <w:rPr>
      <w:rFonts w:ascii="Calibri" w:eastAsia="Calibri" w:hAnsi="Calibri" w:cs="Times New Roman"/>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footnote text,C"/>
    <w:basedOn w:val="Normal"/>
    <w:link w:val="FootnoteTextChar"/>
    <w:qFormat/>
    <w:rsid w:val="004C52B4"/>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qFormat/>
    <w:rsid w:val="004C52B4"/>
    <w:rPr>
      <w:rFonts w:ascii="Calibri" w:eastAsia="Calibri" w:hAnsi="Calibri" w:cs="Times New Roman"/>
      <w:sz w:val="20"/>
      <w:szCs w:val="20"/>
    </w:rPr>
  </w:style>
  <w:style w:type="character" w:styleId="EndnoteReference">
    <w:name w:val="endnote reference"/>
    <w:uiPriority w:val="99"/>
    <w:semiHidden/>
    <w:rsid w:val="004C52B4"/>
    <w:rPr>
      <w:vertAlign w:val="superscript"/>
    </w:rPr>
  </w:style>
  <w:style w:type="character" w:customStyle="1" w:styleId="bodytext">
    <w:name w:val="bodytext"/>
    <w:basedOn w:val="DefaultParagraphFont"/>
    <w:rsid w:val="004C52B4"/>
  </w:style>
  <w:style w:type="character" w:styleId="Hyperlink">
    <w:name w:val="Hyperlink"/>
    <w:basedOn w:val="DefaultParagraphFont"/>
    <w:uiPriority w:val="99"/>
    <w:semiHidden/>
    <w:unhideWhenUsed/>
    <w:rsid w:val="004C52B4"/>
    <w:rPr>
      <w:color w:val="0000FF"/>
      <w:u w:val="single"/>
    </w:rPr>
  </w:style>
  <w:style w:type="character" w:styleId="Strong">
    <w:name w:val="Strong"/>
    <w:basedOn w:val="DefaultParagraphFont"/>
    <w:uiPriority w:val="22"/>
    <w:qFormat/>
    <w:rsid w:val="004C52B4"/>
    <w:rPr>
      <w:b/>
      <w:bCs/>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nr,R"/>
    <w:basedOn w:val="DefaultParagraphFont"/>
    <w:link w:val="CarattereCarattereCharCharCharCharCharCharZchn"/>
    <w:qFormat/>
    <w:rsid w:val="006C2921"/>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C2921"/>
    <w:pPr>
      <w:spacing w:after="160" w:line="240" w:lineRule="exact"/>
    </w:pPr>
    <w:rPr>
      <w:vertAlign w:val="superscript"/>
    </w:rPr>
  </w:style>
  <w:style w:type="paragraph" w:styleId="NormalWeb">
    <w:name w:val="Normal (Web)"/>
    <w:aliases w:val="Char Char Char,Обычный (веб)1,Обычный (веб) Знак,Обычный (веб) Знак1,Обычный (веб) Знак Знак,Char1 Char,Char1, Char Char,Char Char Char Char Char Char Char Char Char Char Char Char Char Char Char, Char, Char Char25,webb,Char Char,Char"/>
    <w:basedOn w:val="Normal"/>
    <w:link w:val="NormalWebChar"/>
    <w:uiPriority w:val="99"/>
    <w:unhideWhenUsed/>
    <w:qFormat/>
    <w:rsid w:val="00C12DD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Char1 Char Char,Char1 Char1, Char Char Char, Char Char1, Char Char25 Char,webb Char,Char Char Char1,Char Char1"/>
    <w:link w:val="NormalWeb"/>
    <w:uiPriority w:val="99"/>
    <w:qFormat/>
    <w:locked/>
    <w:rsid w:val="00C12DD9"/>
    <w:rPr>
      <w:rFonts w:eastAsia="Times New Roman" w:cs="Times New Roman"/>
      <w:sz w:val="24"/>
      <w:szCs w:val="24"/>
    </w:rPr>
  </w:style>
  <w:style w:type="character" w:customStyle="1" w:styleId="FootnoteTextChar1">
    <w:name w:val="Footnote Text Char1"/>
    <w:basedOn w:val="DefaultParagraphFont"/>
    <w:uiPriority w:val="99"/>
    <w:semiHidden/>
    <w:rsid w:val="00161314"/>
    <w:rPr>
      <w:rFonts w:ascii="Calibri" w:eastAsia="Times New Roman" w:hAnsi="Calibri" w:cs="Calibri"/>
      <w:sz w:val="20"/>
      <w:szCs w:val="20"/>
      <w:lang w:val="en-US"/>
    </w:rPr>
  </w:style>
  <w:style w:type="paragraph" w:styleId="BalloonText">
    <w:name w:val="Balloon Text"/>
    <w:basedOn w:val="Normal"/>
    <w:link w:val="BalloonTextChar"/>
    <w:uiPriority w:val="99"/>
    <w:semiHidden/>
    <w:unhideWhenUsed/>
    <w:rsid w:val="006C2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D9F"/>
    <w:rPr>
      <w:rFonts w:ascii="Tahoma" w:hAnsi="Tahoma" w:cs="Tahoma"/>
      <w:sz w:val="16"/>
      <w:szCs w:val="16"/>
    </w:rPr>
  </w:style>
  <w:style w:type="paragraph" w:styleId="ListParagraph">
    <w:name w:val="List Paragraph"/>
    <w:basedOn w:val="Normal"/>
    <w:uiPriority w:val="34"/>
    <w:qFormat/>
    <w:rsid w:val="00743B34"/>
    <w:pPr>
      <w:ind w:left="720"/>
      <w:contextualSpacing/>
    </w:pPr>
  </w:style>
  <w:style w:type="table" w:customStyle="1" w:styleId="1">
    <w:name w:val="1"/>
    <w:basedOn w:val="TableNormal"/>
    <w:rsid w:val="009108E7"/>
    <w:rPr>
      <w:rFonts w:eastAsia="Times New Roman" w:cs="Times New Roman"/>
      <w:szCs w:val="28"/>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70462-7D94-424E-977D-276E579B7AFD}">
  <ds:schemaRefs>
    <ds:schemaRef ds:uri="http://schemas.openxmlformats.org/officeDocument/2006/bibliography"/>
  </ds:schemaRefs>
</ds:datastoreItem>
</file>

<file path=customXml/itemProps2.xml><?xml version="1.0" encoding="utf-8"?>
<ds:datastoreItem xmlns:ds="http://schemas.openxmlformats.org/officeDocument/2006/customXml" ds:itemID="{35A955B1-6231-464D-A127-7CE0BADC763C}"/>
</file>

<file path=customXml/itemProps3.xml><?xml version="1.0" encoding="utf-8"?>
<ds:datastoreItem xmlns:ds="http://schemas.openxmlformats.org/officeDocument/2006/customXml" ds:itemID="{8127662A-3261-4280-9282-6ADA0B9232EF}"/>
</file>

<file path=customXml/itemProps4.xml><?xml version="1.0" encoding="utf-8"?>
<ds:datastoreItem xmlns:ds="http://schemas.openxmlformats.org/officeDocument/2006/customXml" ds:itemID="{DBDE5141-7EB3-4C41-AC4E-5B5AD3F06369}"/>
</file>

<file path=docProps/app.xml><?xml version="1.0" encoding="utf-8"?>
<Properties xmlns="http://schemas.openxmlformats.org/officeDocument/2006/extended-properties" xmlns:vt="http://schemas.openxmlformats.org/officeDocument/2006/docPropsVTypes">
  <Template>Normal.dotm</Template>
  <TotalTime>0</TotalTime>
  <Pages>6</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Ngoc Lan</cp:lastModifiedBy>
  <cp:revision>2</cp:revision>
  <cp:lastPrinted>2022-05-18T09:07:00Z</cp:lastPrinted>
  <dcterms:created xsi:type="dcterms:W3CDTF">2022-05-23T03:23:00Z</dcterms:created>
  <dcterms:modified xsi:type="dcterms:W3CDTF">2022-05-23T03:23:00Z</dcterms:modified>
</cp:coreProperties>
</file>